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rFonts w:ascii="Times New Roman" w:hAnsi="Times New Roman" w:cs="Times New Roman"/>
          <w:b/>
          <w:b/>
          <w:sz w:val="32"/>
          <w:szCs w:val="32"/>
        </w:rPr>
      </w:pPr>
      <w:bookmarkStart w:id="0" w:name="__DdeLink__3819_320783018"/>
      <w:bookmarkEnd w:id="0"/>
      <w:r>
        <w:rPr>
          <w:rFonts w:cs="Times New Roman" w:ascii="Times New Roman" w:hAnsi="Times New Roman"/>
          <w:b/>
          <w:sz w:val="32"/>
          <w:szCs w:val="32"/>
        </w:rPr>
        <w:t>ANALISA RATIO KEUANGAN DAN PERATAAN LABA TERHADAP RETURN SAHAM PADA INDUSTRI MANUFAKTUR TAHUN 2012-2016</w:t>
      </w:r>
    </w:p>
    <w:p>
      <w:pPr>
        <w:pStyle w:val="Normal"/>
        <w:spacing w:lineRule="auto" w:line="360"/>
        <w:jc w:val="center"/>
        <w:rPr>
          <w:rFonts w:ascii="Times New Roman" w:hAnsi="Times New Roman" w:cs="Times New Roman"/>
          <w:b/>
          <w:b/>
        </w:rPr>
      </w:pPr>
      <w:r>
        <w:rPr>
          <w:rFonts w:cs="Times New Roman" w:ascii="Times New Roman" w:hAnsi="Times New Roman"/>
          <w:b/>
        </w:rPr>
        <w:t>Kartika Dewi, Dea Catherine</w:t>
      </w:r>
    </w:p>
    <w:p>
      <w:pPr>
        <w:pStyle w:val="Normal"/>
        <w:spacing w:lineRule="auto" w:line="240" w:before="0" w:after="0"/>
        <w:jc w:val="center"/>
        <w:rPr>
          <w:rFonts w:ascii="Times New Roman" w:hAnsi="Times New Roman"/>
          <w:b/>
          <w:b/>
          <w:sz w:val="20"/>
          <w:szCs w:val="20"/>
        </w:rPr>
      </w:pPr>
      <w:r>
        <w:rPr>
          <w:rFonts w:ascii="Times New Roman" w:hAnsi="Times New Roman"/>
          <w:b/>
          <w:sz w:val="20"/>
          <w:szCs w:val="20"/>
        </w:rPr>
        <w:t>Universitas Bina Nusantara</w:t>
      </w:r>
    </w:p>
    <w:p>
      <w:pPr>
        <w:pStyle w:val="Normal"/>
        <w:spacing w:lineRule="auto" w:line="240" w:before="0" w:after="0"/>
        <w:jc w:val="center"/>
        <w:rPr>
          <w:rFonts w:ascii="Times New Roman" w:hAnsi="Times New Roman"/>
          <w:b/>
          <w:b/>
          <w:sz w:val="20"/>
          <w:szCs w:val="20"/>
        </w:rPr>
      </w:pPr>
      <w:r>
        <w:rPr>
          <w:rFonts w:ascii="Times New Roman" w:hAnsi="Times New Roman"/>
          <w:b/>
          <w:sz w:val="20"/>
          <w:szCs w:val="20"/>
        </w:rPr>
        <w:t>Jln. Jalur Sutera Barat Kav. 21, Alam Sutera, Tangerang. (62-21) 5345830</w:t>
      </w:r>
    </w:p>
    <w:p>
      <w:pPr>
        <w:pStyle w:val="Normal"/>
        <w:spacing w:lineRule="auto" w:line="240" w:before="0" w:after="0"/>
        <w:jc w:val="center"/>
        <w:rPr>
          <w:rFonts w:ascii="Times New Roman" w:hAnsi="Times New Roman"/>
          <w:b/>
          <w:b/>
          <w:sz w:val="20"/>
          <w:szCs w:val="20"/>
        </w:rPr>
      </w:pPr>
      <w:r>
        <w:rPr>
          <w:rFonts w:ascii="Times New Roman" w:hAnsi="Times New Roman"/>
          <w:b/>
          <w:sz w:val="20"/>
          <w:szCs w:val="20"/>
        </w:rPr>
        <w:t>kdewi@binus.edu</w:t>
      </w:r>
    </w:p>
    <w:p>
      <w:pPr>
        <w:pStyle w:val="Normal"/>
        <w:spacing w:lineRule="auto" w:line="240" w:before="0" w:after="0"/>
        <w:jc w:val="center"/>
        <w:rPr>
          <w:rFonts w:ascii="Times New Roman" w:hAnsi="Times New Roman"/>
          <w:b/>
          <w:b/>
          <w:sz w:val="20"/>
          <w:szCs w:val="20"/>
        </w:rPr>
      </w:pPr>
      <w:r>
        <w:rPr>
          <w:rFonts w:ascii="Times New Roman" w:hAnsi="Times New Roman"/>
          <w:b/>
          <w:sz w:val="20"/>
          <w:szCs w:val="20"/>
        </w:rPr>
        <w:t>Deadea.catherine@gmail.com</w:t>
      </w:r>
    </w:p>
    <w:p>
      <w:pPr>
        <w:pStyle w:val="Normal"/>
        <w:spacing w:lineRule="auto" w:line="240" w:before="0" w:after="0"/>
        <w:jc w:val="center"/>
        <w:rPr>
          <w:rFonts w:ascii="Times New Roman" w:hAnsi="Times New Roman"/>
          <w:b/>
          <w:b/>
          <w:sz w:val="20"/>
          <w:szCs w:val="20"/>
        </w:rPr>
      </w:pPr>
      <w:r>
        <w:rPr>
          <w:rFonts w:ascii="Times New Roman" w:hAnsi="Times New Roman"/>
          <w:b/>
          <w:sz w:val="20"/>
          <w:szCs w:val="20"/>
        </w:rPr>
      </w:r>
    </w:p>
    <w:p>
      <w:pPr>
        <w:pStyle w:val="Normal"/>
        <w:spacing w:lineRule="auto" w:line="360"/>
        <w:rPr>
          <w:rFonts w:ascii="Times New Roman" w:hAnsi="Times New Roman" w:cs="Times New Roman"/>
          <w:b/>
          <w:b/>
          <w:sz w:val="24"/>
          <w:szCs w:val="24"/>
        </w:rPr>
      </w:pPr>
      <w:bookmarkStart w:id="1" w:name="_GoBack"/>
      <w:bookmarkEnd w:id="1"/>
      <w:r>
        <w:rPr>
          <w:rFonts w:cs="Times New Roman" w:ascii="Times New Roman" w:hAnsi="Times New Roman"/>
          <w:b/>
          <w:sz w:val="24"/>
          <w:szCs w:val="24"/>
        </w:rPr>
        <w:t>ABSTRAK</w:t>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t xml:space="preserve">Tujuan penelitian ini adalah menguji pengaruh ratio keuangan profitabilitas, solvabilitas dan perataan laba terhadap return saham pada perusahaan manufaktur yang terdaftar di Bursa Efek Indonesia periode 2012-2016. Profitabilitas di uji dengan menggunakan proxy </w:t>
      </w:r>
      <w:r>
        <w:rPr>
          <w:rFonts w:cs="Times New Roman" w:ascii="Times New Roman" w:hAnsi="Times New Roman"/>
          <w:i/>
          <w:sz w:val="24"/>
          <w:szCs w:val="24"/>
        </w:rPr>
        <w:t>Return On Asset</w:t>
      </w:r>
      <w:r>
        <w:rPr>
          <w:rFonts w:cs="Times New Roman" w:ascii="Times New Roman" w:hAnsi="Times New Roman"/>
          <w:sz w:val="24"/>
          <w:szCs w:val="24"/>
        </w:rPr>
        <w:t xml:space="preserve"> dan </w:t>
      </w:r>
      <w:r>
        <w:rPr>
          <w:rFonts w:cs="Times New Roman" w:ascii="Times New Roman" w:hAnsi="Times New Roman"/>
          <w:i/>
          <w:sz w:val="24"/>
          <w:szCs w:val="24"/>
        </w:rPr>
        <w:t>Net Profit Margin</w:t>
      </w:r>
      <w:r>
        <w:rPr>
          <w:rFonts w:cs="Times New Roman" w:ascii="Times New Roman" w:hAnsi="Times New Roman"/>
          <w:sz w:val="24"/>
          <w:szCs w:val="24"/>
        </w:rPr>
        <w:t xml:space="preserve">. Solvabilitas di uji dengan menggunakan proxy </w:t>
      </w:r>
      <w:r>
        <w:rPr>
          <w:rFonts w:cs="Times New Roman" w:ascii="Times New Roman" w:hAnsi="Times New Roman"/>
          <w:i/>
          <w:sz w:val="24"/>
          <w:szCs w:val="24"/>
        </w:rPr>
        <w:t>Debt to Equity Ratio</w:t>
      </w:r>
      <w:r>
        <w:rPr>
          <w:rFonts w:cs="Times New Roman" w:ascii="Times New Roman" w:hAnsi="Times New Roman"/>
          <w:sz w:val="24"/>
          <w:szCs w:val="24"/>
        </w:rPr>
        <w:t xml:space="preserve">. Perataan Laba diuji menggunakan Index Eckel. Data sample diambil sebanyak 205 di uji dengan menggunakan regresi berganda dengan bantuan SPSS versi 20. Hasil penelitian menunjukkan </w:t>
      </w:r>
      <w:r>
        <w:rPr>
          <w:rFonts w:cs="Times New Roman" w:ascii="Times New Roman" w:hAnsi="Times New Roman"/>
          <w:i/>
          <w:sz w:val="24"/>
          <w:szCs w:val="24"/>
        </w:rPr>
        <w:t>Return On Asset</w:t>
      </w:r>
      <w:r>
        <w:rPr>
          <w:rFonts w:cs="Times New Roman" w:ascii="Times New Roman" w:hAnsi="Times New Roman"/>
          <w:sz w:val="24"/>
          <w:szCs w:val="24"/>
        </w:rPr>
        <w:t xml:space="preserve"> dan  </w:t>
      </w:r>
      <w:r>
        <w:rPr>
          <w:rFonts w:cs="Times New Roman" w:ascii="Times New Roman" w:hAnsi="Times New Roman"/>
          <w:i/>
          <w:sz w:val="24"/>
          <w:szCs w:val="24"/>
        </w:rPr>
        <w:t>Debt to Equity</w:t>
      </w:r>
      <w:r>
        <w:rPr>
          <w:rFonts w:cs="Times New Roman" w:ascii="Times New Roman" w:hAnsi="Times New Roman"/>
          <w:sz w:val="24"/>
          <w:szCs w:val="24"/>
        </w:rPr>
        <w:t xml:space="preserve"> Ratio berpengaruh terhadap Return Saham. </w:t>
      </w:r>
      <w:r>
        <w:rPr>
          <w:rFonts w:cs="Times New Roman" w:ascii="Times New Roman" w:hAnsi="Times New Roman"/>
          <w:i/>
          <w:sz w:val="24"/>
          <w:szCs w:val="24"/>
        </w:rPr>
        <w:t>Net Profit Margin</w:t>
      </w:r>
      <w:r>
        <w:rPr>
          <w:rFonts w:cs="Times New Roman" w:ascii="Times New Roman" w:hAnsi="Times New Roman"/>
          <w:sz w:val="24"/>
          <w:szCs w:val="24"/>
        </w:rPr>
        <w:t xml:space="preserve"> dan Perataan Laba tidak berpengaruh terhadap Return Saham. </w:t>
      </w:r>
    </w:p>
    <w:p>
      <w:pPr>
        <w:pStyle w:val="Normal"/>
        <w:spacing w:lineRule="auto" w:line="360"/>
        <w:rPr>
          <w:rFonts w:ascii="Times New Roman" w:hAnsi="Times New Roman" w:cs="Times New Roman"/>
          <w:b/>
          <w:b/>
          <w:sz w:val="24"/>
          <w:szCs w:val="24"/>
        </w:rPr>
      </w:pPr>
      <w:r>
        <w:rPr>
          <w:rFonts w:cs="Times New Roman" w:ascii="Times New Roman" w:hAnsi="Times New Roman"/>
          <w:b/>
          <w:sz w:val="24"/>
          <w:szCs w:val="24"/>
        </w:rPr>
        <w:t>PENDAHULUAN</w:t>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t>Bagi perusahaan yang membutuhkan tambahan dana segar dapat diperoleh melalui proses IPO (</w:t>
      </w:r>
      <w:r>
        <w:rPr>
          <w:rFonts w:cs="Times New Roman" w:ascii="Times New Roman" w:hAnsi="Times New Roman"/>
          <w:i/>
          <w:sz w:val="24"/>
          <w:szCs w:val="24"/>
        </w:rPr>
        <w:t>Initial Public Offering</w:t>
      </w:r>
      <w:r>
        <w:rPr>
          <w:rFonts w:cs="Times New Roman" w:ascii="Times New Roman" w:hAnsi="Times New Roman"/>
          <w:sz w:val="24"/>
          <w:szCs w:val="24"/>
        </w:rPr>
        <w:t xml:space="preserve">) dengan menjual sahamnya di Bursa Efek Jakarta (BEI). Disisi yang lain, investor ingin mendapatkan keuntungan dari kelebihan dananya. Investasi yang dilakukan oleh investor banyak melalui pertimbangan melalui perhitungan rasio keuangan. Angka yang dipublikasikan di Laporan Keuangan harus dapat dipercaya pembacanya. Laporan yang dapat dipercaya mempunyai banyak keuntungan yaitu investor yakin dengan kondisi keuangan perusahaan sehingga keputusan ekonomi dapat diambil dengan benar. Ada dua cara untuk menilai kinerja perusahaan yang sudah </w:t>
      </w:r>
      <w:r>
        <w:rPr>
          <w:rFonts w:cs="Times New Roman" w:ascii="Times New Roman" w:hAnsi="Times New Roman"/>
          <w:i/>
          <w:sz w:val="24"/>
          <w:szCs w:val="24"/>
        </w:rPr>
        <w:t>go-public</w:t>
      </w:r>
      <w:r>
        <w:rPr>
          <w:rFonts w:cs="Times New Roman" w:ascii="Times New Roman" w:hAnsi="Times New Roman"/>
          <w:sz w:val="24"/>
          <w:szCs w:val="24"/>
        </w:rPr>
        <w:t xml:space="preserve"> yaitu analisa fundamental menggunakan rasio keuangan dan analisa tehnikal menggunakan grafik pergerakan harga</w:t>
      </w:r>
    </w:p>
    <w:p>
      <w:pPr>
        <w:pStyle w:val="Normal"/>
        <w:spacing w:lineRule="auto" w:line="360"/>
        <w:rPr>
          <w:rFonts w:ascii="Times New Roman" w:hAnsi="Times New Roman" w:cs="Times New Roman"/>
          <w:bCs/>
          <w:sz w:val="24"/>
          <w:szCs w:val="24"/>
        </w:rPr>
      </w:pPr>
      <w:r>
        <w:rPr>
          <w:rFonts w:cs="Times New Roman" w:ascii="Times New Roman" w:hAnsi="Times New Roman"/>
          <w:bCs/>
          <w:sz w:val="24"/>
          <w:szCs w:val="24"/>
        </w:rPr>
        <w:t xml:space="preserve">Laporan keuangan perusahaan merupakan laporan yang mencatat seluruh informasi keuangan suatu perusahaan pada suatu periode akuntansi yang dapat digunakan untuk menggambarkan kinerja perusahaan tersebut. Laporan keuangan perusahaan umumnya terdiri atas Income Statement, Statement of Retained Earning, Statement of Financial Position dan Statement of Cash Flow. Laporan keuangan perusahaan sebagai hasil akhir dari proses akuntansi harus memberikan informasi keuangan secara kuantitatif mengenai perusahaan, guna memenuhi keperluan para pemakai untuk mengambil keputusan, menyajikan informasi yang dapat dipercaya mengenai posisi keuangan perusahaan tersebut, menyajikan informasi keuangan yang dapat membantu para pemakai dalam menaksir kemampuan memperoleh laba dan mengetahui jumlah kewajiban perusahaan baik yang dilunasi dalam jangka pendek atau jangka panjang. </w:t>
      </w:r>
    </w:p>
    <w:p>
      <w:pPr>
        <w:pStyle w:val="Normal"/>
        <w:spacing w:lineRule="auto" w:line="360"/>
        <w:rPr>
          <w:rFonts w:ascii="Times New Roman" w:hAnsi="Times New Roman" w:cs="Times New Roman"/>
          <w:bCs/>
          <w:sz w:val="24"/>
          <w:szCs w:val="24"/>
        </w:rPr>
      </w:pPr>
      <w:r>
        <w:rPr>
          <w:rFonts w:cs="Times New Roman" w:ascii="Times New Roman" w:hAnsi="Times New Roman"/>
          <w:bCs/>
          <w:sz w:val="24"/>
          <w:szCs w:val="24"/>
        </w:rPr>
        <w:t xml:space="preserve">Profitabilitas adalah selisih revenue dengan beban operasional dalam melakukan kegiatan pokok sedangkan rasio profitabilitas adalah net income atau profit dibagi dengan kekayaan atau asset yang dimiliki utuk menghasilkan keuntungan perusahaan. Ada beberapa rasio profitabilitas tetapi penelitian ini menggunakan Net Profit Margin dan Return On Assets sebagai rasio profitabilitas yang diuji. Net Profit Margin adalah rasio yang digunakan untuk mengukur kemampuan perusahaan dalam menghasilkan laba berdasarkan penjualan perusahaan dan ROA adalah rasio yang digunakan untuk mengukur kemampuan perusahaan dalam menghasilkan laba berdasarkan asset perusahaan. Profitabilitas merupakan salah satu aspek yang di perhatikan oleh investor pada laporan keuangan perusahaan. Dapat dilihat dari semakin tinggi tingkat profitabilitas yang dimiliki oleh perusahaan, maka semakin tinggi harga saham yang berdampak pada </w:t>
      </w:r>
      <w:r>
        <w:rPr>
          <w:rFonts w:cs="Times New Roman" w:ascii="Times New Roman" w:hAnsi="Times New Roman"/>
          <w:bCs/>
          <w:i/>
          <w:sz w:val="24"/>
          <w:szCs w:val="24"/>
        </w:rPr>
        <w:t>return</w:t>
      </w:r>
      <w:r>
        <w:rPr>
          <w:rFonts w:cs="Times New Roman" w:ascii="Times New Roman" w:hAnsi="Times New Roman"/>
          <w:bCs/>
          <w:sz w:val="24"/>
          <w:szCs w:val="24"/>
        </w:rPr>
        <w:t xml:space="preserve"> saham di perusahaan tersebut.</w:t>
      </w:r>
    </w:p>
    <w:p>
      <w:pPr>
        <w:pStyle w:val="Normal"/>
        <w:spacing w:lineRule="auto" w:line="360"/>
        <w:rPr>
          <w:rFonts w:ascii="Times New Roman" w:hAnsi="Times New Roman" w:cs="Times New Roman"/>
          <w:sz w:val="24"/>
          <w:szCs w:val="24"/>
        </w:rPr>
      </w:pPr>
      <w:r>
        <w:rPr>
          <w:rFonts w:cs="Times New Roman" w:ascii="Times New Roman" w:hAnsi="Times New Roman"/>
          <w:bCs/>
          <w:sz w:val="24"/>
          <w:szCs w:val="24"/>
        </w:rPr>
        <w:t xml:space="preserve">Solvabilitas merupakan alat untuk mengukur seberapa besar perusahaan tergantung pada kreditur dalam membiayai asset perusahaan. Dalam penelitian ini, peneliti menggunakan rasio </w:t>
      </w:r>
      <w:r>
        <w:rPr>
          <w:rFonts w:cs="Times New Roman" w:ascii="Times New Roman" w:hAnsi="Times New Roman"/>
          <w:bCs/>
          <w:i/>
          <w:sz w:val="24"/>
          <w:szCs w:val="24"/>
        </w:rPr>
        <w:t>Debt to Equity Ratio</w:t>
      </w:r>
      <w:r>
        <w:rPr>
          <w:rFonts w:cs="Times New Roman" w:ascii="Times New Roman" w:hAnsi="Times New Roman"/>
          <w:sz w:val="24"/>
          <w:szCs w:val="24"/>
        </w:rPr>
        <w:t xml:space="preserve"> untuk mengukur</w:t>
      </w:r>
      <w:r>
        <w:rPr>
          <w:rFonts w:cs="Times New Roman" w:ascii="Times New Roman" w:hAnsi="Times New Roman"/>
          <w:i/>
          <w:sz w:val="24"/>
          <w:szCs w:val="24"/>
        </w:rPr>
        <w:t xml:space="preserve"> </w:t>
      </w:r>
      <w:r>
        <w:rPr>
          <w:rFonts w:cs="Times New Roman" w:ascii="Times New Roman" w:hAnsi="Times New Roman"/>
          <w:bCs/>
          <w:sz w:val="24"/>
          <w:szCs w:val="24"/>
        </w:rPr>
        <w:t>solvabilitas</w:t>
      </w:r>
      <w:r>
        <w:rPr>
          <w:rFonts w:cs="Times New Roman" w:ascii="Times New Roman" w:hAnsi="Times New Roman"/>
          <w:sz w:val="24"/>
          <w:szCs w:val="24"/>
        </w:rPr>
        <w:t xml:space="preserve">. </w:t>
      </w:r>
      <w:r>
        <w:rPr>
          <w:rFonts w:cs="Times New Roman" w:ascii="Times New Roman" w:hAnsi="Times New Roman"/>
          <w:i/>
          <w:sz w:val="24"/>
          <w:szCs w:val="24"/>
        </w:rPr>
        <w:t>Debt To Equity Ratio</w:t>
      </w:r>
      <w:r>
        <w:rPr>
          <w:rFonts w:cs="Times New Roman" w:ascii="Times New Roman" w:hAnsi="Times New Roman"/>
          <w:sz w:val="24"/>
          <w:szCs w:val="24"/>
        </w:rPr>
        <w:t xml:space="preserve"> menggambarkan kemampuan perusahaan dalam memanfaatkan kewajiban agar untuk membayar hutang dengan ekuitas (modal sendiri). Tingkat </w:t>
      </w:r>
      <w:r>
        <w:rPr>
          <w:rFonts w:cs="Times New Roman" w:ascii="Times New Roman" w:hAnsi="Times New Roman"/>
          <w:bCs/>
          <w:sz w:val="24"/>
          <w:szCs w:val="24"/>
        </w:rPr>
        <w:t>Solvabilitas</w:t>
      </w:r>
      <w:r>
        <w:rPr>
          <w:rFonts w:cs="Times New Roman" w:ascii="Times New Roman" w:hAnsi="Times New Roman"/>
          <w:sz w:val="24"/>
          <w:szCs w:val="24"/>
        </w:rPr>
        <w:t xml:space="preserve"> juga merupakan salah satu aspek yang diperhatikan oleh investor untuk menanamkan saham, dapat dilihat dari semakin rendah tingkat </w:t>
      </w:r>
      <w:r>
        <w:rPr>
          <w:rFonts w:cs="Times New Roman" w:ascii="Times New Roman" w:hAnsi="Times New Roman"/>
          <w:bCs/>
          <w:sz w:val="24"/>
          <w:szCs w:val="24"/>
        </w:rPr>
        <w:t>Solvabilitas</w:t>
      </w:r>
      <w:r>
        <w:rPr>
          <w:rFonts w:cs="Times New Roman" w:ascii="Times New Roman" w:hAnsi="Times New Roman"/>
          <w:sz w:val="24"/>
          <w:szCs w:val="24"/>
        </w:rPr>
        <w:t xml:space="preserve"> yang dimiliki oleh perusahaan, maka akan menarik minat investor. Tingkat </w:t>
      </w:r>
      <w:r>
        <w:rPr>
          <w:rFonts w:cs="Times New Roman" w:ascii="Times New Roman" w:hAnsi="Times New Roman"/>
          <w:bCs/>
          <w:sz w:val="24"/>
          <w:szCs w:val="24"/>
        </w:rPr>
        <w:t>Solvabilitas</w:t>
      </w:r>
      <w:r>
        <w:rPr>
          <w:rFonts w:cs="Times New Roman" w:ascii="Times New Roman" w:hAnsi="Times New Roman"/>
          <w:sz w:val="24"/>
          <w:szCs w:val="24"/>
        </w:rPr>
        <w:t xml:space="preserve"> perusahaan yang rendah menggambarkan resiko perusahaan yang rendah.</w:t>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t>Perataan Laba adalah metode yang digunakan untuk mengurangi fluktuasi laba sehingga kenaikan atau penurunan laba tidak terlalu tajam,tetapi perlahan naik atau perlahan turun. Manager bisa melakukan perataan laba secara sengaja ataupun alami. Menurut Belkaoui (2006) perataan laba (income smoothing) adalah pengurangan fluktuasi laba dari tahun ke tahun dengan memindahkan pendapatan dari tahun-tahun yang tinggi pendapatannya ke tahun-tahun yang rendah atau kurang menguntungkan. Karena laba menjadi pusat perhatian semua pembaca Laporan Keuangan maka penyajian laba menjadi sangat penting bagi manager.</w:t>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t xml:space="preserve">Penelitian sejenis yang telah dilakukan oleh </w:t>
      </w:r>
      <w:r>
        <w:rPr>
          <w:rFonts w:cs="Times New Roman" w:ascii="Times New Roman" w:hAnsi="Times New Roman"/>
          <w:sz w:val="24"/>
          <w:szCs w:val="24"/>
          <w:shd w:fill="FFFFFF" w:val="clear"/>
        </w:rPr>
        <w:t xml:space="preserve">Wingsih (2013), menunjukkan bahwa </w:t>
      </w:r>
      <w:r>
        <w:rPr>
          <w:rFonts w:cs="Times New Roman" w:ascii="Times New Roman" w:hAnsi="Times New Roman"/>
          <w:i/>
          <w:sz w:val="24"/>
          <w:szCs w:val="24"/>
          <w:shd w:fill="FFFFFF" w:val="clear"/>
        </w:rPr>
        <w:t>Return on Asset</w:t>
      </w:r>
      <w:r>
        <w:rPr>
          <w:rFonts w:cs="Times New Roman" w:ascii="Times New Roman" w:hAnsi="Times New Roman"/>
          <w:sz w:val="24"/>
          <w:szCs w:val="24"/>
          <w:shd w:fill="FFFFFF" w:val="clear"/>
        </w:rPr>
        <w:t xml:space="preserve"> berpengaruh negatif terhadap </w:t>
      </w:r>
      <w:r>
        <w:rPr>
          <w:rFonts w:cs="Times New Roman" w:ascii="Times New Roman" w:hAnsi="Times New Roman"/>
          <w:i/>
          <w:sz w:val="24"/>
          <w:szCs w:val="24"/>
          <w:shd w:fill="FFFFFF" w:val="clear"/>
        </w:rPr>
        <w:t>return</w:t>
      </w:r>
      <w:r>
        <w:rPr>
          <w:rFonts w:cs="Times New Roman" w:ascii="Times New Roman" w:hAnsi="Times New Roman"/>
          <w:sz w:val="24"/>
          <w:szCs w:val="24"/>
          <w:shd w:fill="FFFFFF" w:val="clear"/>
        </w:rPr>
        <w:t xml:space="preserve"> saham. </w:t>
      </w:r>
      <w:r>
        <w:rPr>
          <w:rFonts w:cs="Times New Roman" w:ascii="Times New Roman" w:hAnsi="Times New Roman"/>
          <w:sz w:val="24"/>
          <w:szCs w:val="24"/>
        </w:rPr>
        <w:t xml:space="preserve">Dewi (2013) menyimpulkan bahwa rasio </w:t>
      </w:r>
      <w:r>
        <w:rPr>
          <w:rFonts w:cs="Times New Roman" w:ascii="Times New Roman" w:hAnsi="Times New Roman"/>
          <w:i/>
          <w:sz w:val="24"/>
          <w:szCs w:val="24"/>
        </w:rPr>
        <w:t>leverage</w:t>
      </w:r>
      <w:r>
        <w:rPr>
          <w:rFonts w:cs="Times New Roman" w:ascii="Times New Roman" w:hAnsi="Times New Roman"/>
          <w:sz w:val="24"/>
          <w:szCs w:val="24"/>
        </w:rPr>
        <w:t xml:space="preserve"> memberikan pengaruh yang signifikan terhadap </w:t>
      </w:r>
      <w:r>
        <w:rPr>
          <w:rFonts w:cs="Times New Roman" w:ascii="Times New Roman" w:hAnsi="Times New Roman"/>
          <w:i/>
          <w:sz w:val="24"/>
          <w:szCs w:val="24"/>
        </w:rPr>
        <w:t>return</w:t>
      </w:r>
      <w:r>
        <w:rPr>
          <w:rFonts w:cs="Times New Roman" w:ascii="Times New Roman" w:hAnsi="Times New Roman"/>
          <w:sz w:val="24"/>
          <w:szCs w:val="24"/>
        </w:rPr>
        <w:t xml:space="preserve"> saham. Panggabean dan Novita (2012), menyatakan bahwa tidak terdapat pengaruh signifikan antara perataan laba terhadap </w:t>
      </w:r>
      <w:r>
        <w:rPr>
          <w:rFonts w:cs="Times New Roman" w:ascii="Times New Roman" w:hAnsi="Times New Roman"/>
          <w:i/>
          <w:sz w:val="24"/>
          <w:szCs w:val="24"/>
        </w:rPr>
        <w:t>return</w:t>
      </w:r>
      <w:r>
        <w:rPr>
          <w:rFonts w:cs="Times New Roman" w:ascii="Times New Roman" w:hAnsi="Times New Roman"/>
          <w:sz w:val="24"/>
          <w:szCs w:val="24"/>
        </w:rPr>
        <w:t xml:space="preserve"> saham. Penelitian terdahulu yang dilakukan oleh Ariana (2016), menyatakan bahwa nilai DER memiliki pengaruh terhadap </w:t>
      </w:r>
      <w:r>
        <w:rPr>
          <w:rFonts w:cs="Times New Roman" w:ascii="Times New Roman" w:hAnsi="Times New Roman"/>
          <w:i/>
          <w:sz w:val="24"/>
          <w:szCs w:val="24"/>
        </w:rPr>
        <w:t>return</w:t>
      </w:r>
      <w:r>
        <w:rPr>
          <w:rFonts w:cs="Times New Roman" w:ascii="Times New Roman" w:hAnsi="Times New Roman"/>
          <w:sz w:val="24"/>
          <w:szCs w:val="24"/>
        </w:rPr>
        <w:t xml:space="preserve"> saham dikarenakan Semakin rendah nilai dari DER maka lebih baik atau semakin aman kewajiban yang harus dipenuhi oleh modal sendiri. Oleh sebab itu, investor akan lebih tertarik apabila suatu perusahaan memiliki nilai DER yang kecil, sehingga berdampak pada harga saham yang akan meningkat.</w:t>
      </w:r>
      <w:r>
        <w:rPr>
          <w:rFonts w:eastAsia="Times New Roman" w:cs="Times New Roman" w:ascii="Times New Roman" w:hAnsi="Times New Roman"/>
          <w:sz w:val="24"/>
          <w:szCs w:val="24"/>
        </w:rPr>
        <w:t xml:space="preserve">Penelitian terdahulu yang dilakukan oleh Acheampong, Agalega dan Shibu (2014) dengan judul “ </w:t>
      </w:r>
      <w:r>
        <w:rPr>
          <w:rFonts w:eastAsia="Times New Roman" w:cs="Times New Roman" w:ascii="Times New Roman" w:hAnsi="Times New Roman"/>
          <w:i/>
          <w:sz w:val="24"/>
          <w:szCs w:val="24"/>
        </w:rPr>
        <w:t>The Effect Of Financial Leverage and Market Size on Stock Returns On The Ghana Stock Exchange: Evidence From Selected Stocks in the Manufacturing Sector</w:t>
      </w:r>
      <w:r>
        <w:rPr>
          <w:rFonts w:eastAsia="Times New Roman" w:cs="Times New Roman" w:ascii="Times New Roman" w:hAnsi="Times New Roman"/>
          <w:sz w:val="24"/>
          <w:szCs w:val="24"/>
        </w:rPr>
        <w:t xml:space="preserve">” menyatakan bahwa </w:t>
      </w:r>
      <w:r>
        <w:rPr>
          <w:rFonts w:eastAsia="Times New Roman" w:cs="Times New Roman" w:ascii="Times New Roman" w:hAnsi="Times New Roman"/>
          <w:i/>
          <w:sz w:val="24"/>
          <w:szCs w:val="24"/>
        </w:rPr>
        <w:t>the study established a negative and significant relation between leverage and stock return when the overall industrial data is used</w:t>
      </w:r>
      <w:r>
        <w:rPr>
          <w:rFonts w:eastAsia="Times New Roman" w:cs="Times New Roman" w:ascii="Times New Roman" w:hAnsi="Times New Roman"/>
          <w:sz w:val="24"/>
          <w:szCs w:val="24"/>
        </w:rPr>
        <w:t xml:space="preserve">, yang artinya bahwa penelitian ini mendapatkan hasil bahwa terdapat hubungan signifikan negatif antara tingkat </w:t>
      </w:r>
      <w:r>
        <w:rPr>
          <w:rFonts w:eastAsia="Times New Roman" w:cs="Times New Roman" w:ascii="Times New Roman" w:hAnsi="Times New Roman"/>
          <w:i/>
          <w:sz w:val="24"/>
          <w:szCs w:val="24"/>
        </w:rPr>
        <w:t>leverage</w:t>
      </w:r>
      <w:r>
        <w:rPr>
          <w:rFonts w:eastAsia="Times New Roman" w:cs="Times New Roman" w:ascii="Times New Roman" w:hAnsi="Times New Roman"/>
          <w:sz w:val="24"/>
          <w:szCs w:val="24"/>
        </w:rPr>
        <w:t xml:space="preserve"> dan </w:t>
      </w:r>
      <w:r>
        <w:rPr>
          <w:rFonts w:eastAsia="Times New Roman" w:cs="Times New Roman" w:ascii="Times New Roman" w:hAnsi="Times New Roman"/>
          <w:i/>
          <w:sz w:val="24"/>
          <w:szCs w:val="24"/>
        </w:rPr>
        <w:t>return</w:t>
      </w:r>
      <w:r>
        <w:rPr>
          <w:rFonts w:eastAsia="Times New Roman" w:cs="Times New Roman" w:ascii="Times New Roman" w:hAnsi="Times New Roman"/>
          <w:sz w:val="24"/>
          <w:szCs w:val="24"/>
        </w:rPr>
        <w:t xml:space="preserve"> saham ketika keseluruhan data industri digunakan.</w:t>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t>Tujuan penelitian ini adalah mengetahui pengaruh ratio keuangan dan perataan laba terhadap return saham. Ratio keuangan yang digunakan adalah profitabilitas dan solvabilitas. Profitabilitas diproxy oleh Return On Asset dan Net Profit Margin, Solvabilitas di proxy oleh Debt to Equity Ratio. Semua independen variable di regresikan dengan dependen variablenya yaitu Retun Saham. Secara rinci tujuan penelitian ini adalah, pertama, menguji pengaruh ROA terhadap return saham. Kedua, menguji pengaruh Debt to Equity terhadap return. Ketiga, menguji pengaruh Net Profit Margin terhadap return. Keempat, menguji pengaruh Perataan Laba terhadap return saham.</w:t>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t>Untuk melakukam pungujian tingkat signifikansi pengaruh rasio keuangan terhadap return saham di kembangkan hipotesis sebagai berikut:</w:t>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t>H</w:t>
      </w:r>
      <w:r>
        <w:rPr>
          <w:rFonts w:cs="Times New Roman" w:ascii="Times New Roman" w:hAnsi="Times New Roman"/>
          <w:sz w:val="14"/>
          <w:szCs w:val="24"/>
        </w:rPr>
        <w:t>1</w:t>
      </w:r>
      <w:r>
        <w:rPr>
          <w:rFonts w:cs="Times New Roman" w:ascii="Times New Roman" w:hAnsi="Times New Roman"/>
          <w:sz w:val="24"/>
          <w:szCs w:val="24"/>
        </w:rPr>
        <w:t>: Ada pengaruh Return On Asset terhadap Return Saham</w:t>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t>H</w:t>
      </w:r>
      <w:r>
        <w:rPr>
          <w:rFonts w:cs="Times New Roman" w:ascii="Times New Roman" w:hAnsi="Times New Roman"/>
          <w:sz w:val="14"/>
          <w:szCs w:val="24"/>
        </w:rPr>
        <w:t>2</w:t>
      </w:r>
      <w:r>
        <w:rPr>
          <w:rFonts w:cs="Times New Roman" w:ascii="Times New Roman" w:hAnsi="Times New Roman"/>
          <w:sz w:val="24"/>
          <w:szCs w:val="24"/>
        </w:rPr>
        <w:t xml:space="preserve">: Ada pengaruh </w:t>
      </w:r>
      <w:r>
        <w:rPr>
          <w:rFonts w:cs="Times New Roman" w:ascii="Times New Roman" w:hAnsi="Times New Roman"/>
          <w:i/>
          <w:sz w:val="24"/>
          <w:szCs w:val="24"/>
        </w:rPr>
        <w:t>Debt Equity Ratio</w:t>
      </w:r>
      <w:r>
        <w:rPr>
          <w:rFonts w:cs="Times New Roman"/>
        </w:rPr>
        <w:t xml:space="preserve"> </w:t>
      </w:r>
      <w:r>
        <w:rPr>
          <w:rFonts w:cs="Times New Roman" w:ascii="Times New Roman" w:hAnsi="Times New Roman"/>
          <w:sz w:val="24"/>
          <w:szCs w:val="24"/>
        </w:rPr>
        <w:t>terhadap Return Saham</w:t>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t>H</w:t>
      </w:r>
      <w:r>
        <w:rPr>
          <w:rFonts w:cs="Times New Roman" w:ascii="Times New Roman" w:hAnsi="Times New Roman"/>
          <w:sz w:val="14"/>
          <w:szCs w:val="24"/>
        </w:rPr>
        <w:t>3</w:t>
      </w:r>
      <w:r>
        <w:rPr>
          <w:rFonts w:cs="Times New Roman" w:ascii="Times New Roman" w:hAnsi="Times New Roman"/>
          <w:sz w:val="24"/>
          <w:szCs w:val="24"/>
        </w:rPr>
        <w:t xml:space="preserve">: Ada pengaruh </w:t>
      </w:r>
      <w:r>
        <w:rPr>
          <w:rFonts w:cs="Times New Roman" w:ascii="Times New Roman" w:hAnsi="Times New Roman"/>
          <w:i/>
        </w:rPr>
        <w:t>Net Profit Margin</w:t>
      </w:r>
      <w:r>
        <w:rPr>
          <w:rFonts w:cs="Times New Roman"/>
        </w:rPr>
        <w:t xml:space="preserve">  </w:t>
      </w:r>
      <w:r>
        <w:rPr>
          <w:rFonts w:cs="Times New Roman" w:ascii="Times New Roman" w:hAnsi="Times New Roman"/>
          <w:sz w:val="24"/>
          <w:szCs w:val="24"/>
        </w:rPr>
        <w:t>terhadap Return Saham</w:t>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t>H</w:t>
      </w:r>
      <w:r>
        <w:rPr>
          <w:rFonts w:cs="Times New Roman" w:ascii="Times New Roman" w:hAnsi="Times New Roman"/>
          <w:sz w:val="14"/>
          <w:szCs w:val="24"/>
        </w:rPr>
        <w:t>4</w:t>
      </w:r>
      <w:r>
        <w:rPr>
          <w:rFonts w:cs="Times New Roman" w:ascii="Times New Roman" w:hAnsi="Times New Roman"/>
          <w:sz w:val="24"/>
          <w:szCs w:val="24"/>
        </w:rPr>
        <w:t>: Ada pengaruh Perataan Laba terhadap Return Saham</w:t>
      </w:r>
    </w:p>
    <w:p>
      <w:pPr>
        <w:pStyle w:val="Normal"/>
        <w:spacing w:lineRule="auto" w:line="360"/>
        <w:rPr>
          <w:rFonts w:ascii="Times New Roman" w:hAnsi="Times New Roman" w:cs="Times New Roman"/>
          <w:b/>
          <w:b/>
          <w:sz w:val="28"/>
          <w:szCs w:val="28"/>
        </w:rPr>
      </w:pPr>
      <w:r>
        <w:rPr>
          <w:rFonts w:cs="Times New Roman" w:ascii="Times New Roman" w:hAnsi="Times New Roman"/>
          <w:b/>
          <w:sz w:val="28"/>
          <w:szCs w:val="28"/>
        </w:rPr>
        <w:t>LITERATURE REVIEW</w:t>
      </w:r>
    </w:p>
    <w:p>
      <w:pPr>
        <w:pStyle w:val="Normal"/>
        <w:spacing w:lineRule="auto" w:line="360"/>
        <w:rPr>
          <w:rFonts w:ascii="Times New Roman" w:hAnsi="Times New Roman" w:cs="Times New Roman"/>
          <w:b/>
          <w:b/>
          <w:sz w:val="24"/>
          <w:szCs w:val="24"/>
        </w:rPr>
      </w:pPr>
      <w:r>
        <w:rPr>
          <w:rFonts w:cs="Times New Roman" w:ascii="Times New Roman" w:hAnsi="Times New Roman"/>
          <w:b/>
          <w:sz w:val="24"/>
          <w:szCs w:val="24"/>
        </w:rPr>
        <w:t>Laporan Keuangan</w:t>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t xml:space="preserve">Laporan Keuangan merupakan ringkasan transaksi keuangan dimasa lampau yang digunakan pembaca untuk membuat keputusan ekonomi. Definisi Laporan Keuangan menurut S.Munawir (2008) adalah “Laporan Keuangan pada dasarnya adalah hasil dari proses akuntansi yang dapat digunakan sebagai alat untuk berkomunikasi antara data keuangan atau aktifitas suatu perusahaan dengan pihak-pihak yang berkepentingan dengan data atau aktifitas perusahaan tersebut”. Sedangkan menurut Ikatan Akuntan Indonesia (2007,paragraph 2) adalah “ Laporan Keuangan merupakan bagian dari proses pelaporan keuangan. Laporan Keuangan yang lengkap terdiri dari neraca, laporan laba rugi, laporan perubahan posisi keuangan (yang dapat disajikan dalam berbagai cara misalnya laporan arus kas, atau laporan arus dana), catatan dan laporan lain serta materi penjelasan yang merupakan bagian integral dari laporan keuangan. </w:t>
      </w:r>
    </w:p>
    <w:p>
      <w:pPr>
        <w:pStyle w:val="Normal"/>
        <w:spacing w:lineRule="auto" w:line="360"/>
        <w:rPr>
          <w:rFonts w:ascii="Times New Roman" w:hAnsi="Times New Roman" w:cs="Times New Roman"/>
          <w:b/>
          <w:b/>
          <w:sz w:val="24"/>
          <w:szCs w:val="24"/>
        </w:rPr>
      </w:pPr>
      <w:r>
        <w:rPr>
          <w:rFonts w:cs="Times New Roman" w:ascii="Times New Roman" w:hAnsi="Times New Roman"/>
          <w:b/>
          <w:sz w:val="24"/>
          <w:szCs w:val="24"/>
        </w:rPr>
        <w:t>Teori Keagenan</w:t>
      </w:r>
    </w:p>
    <w:p>
      <w:pPr>
        <w:pStyle w:val="BodyA"/>
        <w:spacing w:lineRule="auto" w:line="360"/>
        <w:jc w:val="both"/>
        <w:rPr/>
      </w:pPr>
      <w:r>
        <w:rPr>
          <w:rFonts w:eastAsia="Times New Roman" w:cs="Times New Roman" w:ascii="Times New Roman" w:hAnsi="Times New Roman"/>
          <w:sz w:val="24"/>
          <w:szCs w:val="24"/>
        </w:rPr>
        <w:t xml:space="preserve">Teori keagenan merupakan hubungan antara </w:t>
      </w:r>
      <w:r>
        <w:rPr>
          <w:rFonts w:ascii="Times New Roman" w:hAnsi="Times New Roman"/>
          <w:i/>
          <w:iCs/>
          <w:sz w:val="24"/>
          <w:szCs w:val="24"/>
          <w:lang w:val="fr-FR"/>
        </w:rPr>
        <w:t>principal</w:t>
      </w:r>
      <w:r>
        <w:rPr>
          <w:rFonts w:ascii="Times New Roman" w:hAnsi="Times New Roman"/>
          <w:sz w:val="24"/>
          <w:szCs w:val="24"/>
          <w:lang w:val="da-DK"/>
        </w:rPr>
        <w:t xml:space="preserve"> dengan </w:t>
      </w:r>
      <w:r>
        <w:rPr>
          <w:rFonts w:ascii="Times New Roman" w:hAnsi="Times New Roman"/>
          <w:i/>
          <w:iCs/>
          <w:sz w:val="24"/>
          <w:szCs w:val="24"/>
        </w:rPr>
        <w:t>agent</w:t>
      </w:r>
      <w:r>
        <w:rPr>
          <w:rFonts w:ascii="Times New Roman" w:hAnsi="Times New Roman"/>
          <w:sz w:val="24"/>
          <w:szCs w:val="24"/>
        </w:rPr>
        <w:t xml:space="preserve">.  </w:t>
      </w:r>
      <w:r>
        <w:rPr>
          <w:rFonts w:ascii="Times New Roman" w:hAnsi="Times New Roman"/>
          <w:i/>
          <w:iCs/>
          <w:sz w:val="24"/>
          <w:szCs w:val="24"/>
          <w:lang w:val="fr-FR"/>
        </w:rPr>
        <w:t>Principal</w:t>
      </w:r>
      <w:r>
        <w:rPr>
          <w:rFonts w:ascii="Times New Roman" w:hAnsi="Times New Roman"/>
          <w:sz w:val="24"/>
          <w:szCs w:val="24"/>
        </w:rPr>
        <w:t xml:space="preserve"> merupakan pemilik atau pemegang saham dimana </w:t>
      </w:r>
      <w:r>
        <w:rPr>
          <w:rFonts w:ascii="Times New Roman" w:hAnsi="Times New Roman"/>
          <w:i/>
          <w:iCs/>
          <w:sz w:val="24"/>
          <w:szCs w:val="24"/>
        </w:rPr>
        <w:t>agent</w:t>
      </w:r>
      <w:r>
        <w:rPr>
          <w:rFonts w:ascii="Times New Roman" w:hAnsi="Times New Roman"/>
          <w:sz w:val="24"/>
          <w:szCs w:val="24"/>
        </w:rPr>
        <w:t xml:space="preserve"> merupakan pihak manajemen.  Jensen dan Meckling (1976) menjelaskan hubungan keagenan sebagai “hubungan keagenan sebagai kontrak dimana satu atau lebih orang melibatkan orang lain untuk melakukan beberapa layanan atas nama mereka yang melibatkan medelegasikan beberapa wewenang pengambilan keputusan terhadap agen tersebut.” Teori keagenan itu sendiri merupakan sebuah kontrak antara </w:t>
      </w:r>
      <w:r>
        <w:rPr>
          <w:rFonts w:ascii="Times New Roman" w:hAnsi="Times New Roman"/>
          <w:i/>
          <w:iCs/>
          <w:sz w:val="24"/>
          <w:szCs w:val="24"/>
          <w:lang w:val="fr-FR"/>
        </w:rPr>
        <w:t>principal</w:t>
      </w:r>
      <w:r>
        <w:rPr>
          <w:rFonts w:ascii="Times New Roman" w:hAnsi="Times New Roman"/>
          <w:sz w:val="24"/>
          <w:szCs w:val="24"/>
          <w:lang w:val="nl-NL"/>
        </w:rPr>
        <w:t xml:space="preserve"> dengan agent dimana principal memberikan wewenang bagi </w:t>
      </w:r>
      <w:r>
        <w:rPr>
          <w:rFonts w:ascii="Times New Roman" w:hAnsi="Times New Roman"/>
          <w:i/>
          <w:iCs/>
          <w:sz w:val="24"/>
          <w:szCs w:val="24"/>
        </w:rPr>
        <w:t>agent</w:t>
      </w:r>
      <w:r>
        <w:rPr>
          <w:rFonts w:ascii="Times New Roman" w:hAnsi="Times New Roman"/>
          <w:sz w:val="24"/>
          <w:szCs w:val="24"/>
        </w:rPr>
        <w:t xml:space="preserve"> untuk melakukan sesuai perjanjian. Agent diberikan sebuah tugas atau wewenang dimana di dalamnya termasuk dalam pengambilan keputusan. Dalam hal ini tujuan yang sama diperlukan bagi kedua pihak agar </w:t>
      </w:r>
      <w:r>
        <w:rPr>
          <w:rFonts w:ascii="Times New Roman" w:hAnsi="Times New Roman"/>
          <w:i/>
          <w:iCs/>
          <w:sz w:val="24"/>
          <w:szCs w:val="24"/>
        </w:rPr>
        <w:t>agent</w:t>
      </w:r>
      <w:r>
        <w:rPr>
          <w:rFonts w:ascii="Times New Roman" w:hAnsi="Times New Roman"/>
          <w:sz w:val="24"/>
          <w:szCs w:val="24"/>
        </w:rPr>
        <w:t xml:space="preserve"> dapat menjalankan sesuai dengan tujuan yang diharapkan oleh </w:t>
      </w:r>
      <w:r>
        <w:rPr>
          <w:rFonts w:ascii="Times New Roman" w:hAnsi="Times New Roman"/>
          <w:i/>
          <w:iCs/>
          <w:sz w:val="24"/>
          <w:szCs w:val="24"/>
          <w:lang w:val="fr-FR"/>
        </w:rPr>
        <w:t>principal</w:t>
      </w:r>
      <w:r>
        <w:rPr>
          <w:rFonts w:ascii="Times New Roman" w:hAnsi="Times New Roman"/>
          <w:sz w:val="24"/>
          <w:szCs w:val="24"/>
        </w:rPr>
        <w:t xml:space="preserve">. </w:t>
      </w:r>
    </w:p>
    <w:p>
      <w:pPr>
        <w:pStyle w:val="Normal"/>
        <w:spacing w:lineRule="auto" w:line="360"/>
        <w:rPr>
          <w:rFonts w:ascii="Times New Roman" w:hAnsi="Times New Roman"/>
          <w:sz w:val="24"/>
          <w:szCs w:val="24"/>
        </w:rPr>
      </w:pPr>
      <w:r>
        <w:rPr>
          <w:rFonts w:eastAsia="Times New Roman" w:cs="Times New Roman" w:ascii="Times New Roman" w:hAnsi="Times New Roman"/>
          <w:sz w:val="24"/>
          <w:szCs w:val="24"/>
        </w:rPr>
        <w:t xml:space="preserve">Hubungan yang terjadi antara </w:t>
      </w:r>
      <w:r>
        <w:rPr>
          <w:rFonts w:ascii="Times New Roman" w:hAnsi="Times New Roman"/>
          <w:i/>
          <w:iCs/>
          <w:sz w:val="24"/>
          <w:szCs w:val="24"/>
          <w:lang w:val="fr-FR"/>
        </w:rPr>
        <w:t>principal</w:t>
      </w:r>
      <w:r>
        <w:rPr>
          <w:rFonts w:ascii="Times New Roman" w:hAnsi="Times New Roman"/>
          <w:sz w:val="24"/>
          <w:szCs w:val="24"/>
        </w:rPr>
        <w:t xml:space="preserve"> dan agen tidak hanya adanya hubungan yang baik, akan tetapi hubungan tersebut jika salah dapat menimbulkan adanya ketidak seimbangan informasi. Pihak manajemen memiliki keuntungan yang lebih dari pemilik atau pemegang saham yaitu dimana pihak manajemen mengetahui semua informasi yang ada pada perusahaan. Jika hal ini di salah gunakan maka pihak manajemen dapat melakukan sesuatu hal yang menyimpang dari norma. Salah satu hal yang dapat dilakukan oleh pihak manajemen yaitu mengubah-ubah angka pada laporan keuangan dimana hal ini terkait dengan manajemen laba.</w:t>
      </w:r>
    </w:p>
    <w:p>
      <w:pPr>
        <w:pStyle w:val="Normal"/>
        <w:spacing w:lineRule="auto" w:line="360"/>
        <w:rPr>
          <w:rFonts w:ascii="Times New Roman" w:hAnsi="Times New Roman" w:cs="Times New Roman"/>
          <w:b/>
          <w:b/>
          <w:sz w:val="24"/>
          <w:szCs w:val="24"/>
        </w:rPr>
      </w:pPr>
      <w:r>
        <w:rPr>
          <w:rFonts w:cs="Times New Roman" w:ascii="Times New Roman" w:hAnsi="Times New Roman"/>
          <w:b/>
          <w:sz w:val="24"/>
          <w:szCs w:val="24"/>
        </w:rPr>
        <w:t>PASAR MODAL</w:t>
      </w:r>
    </w:p>
    <w:p>
      <w:pPr>
        <w:pStyle w:val="Normal"/>
        <w:spacing w:lineRule="auto" w:line="360"/>
        <w:rPr>
          <w:rFonts w:ascii="Times New Roman" w:hAnsi="Times New Roman" w:cs="Times New Roman"/>
          <w:sz w:val="24"/>
          <w:szCs w:val="24"/>
          <w:highlight w:val="white"/>
        </w:rPr>
      </w:pPr>
      <w:r>
        <w:rPr>
          <w:rFonts w:cs="Times New Roman" w:ascii="Times New Roman" w:hAnsi="Times New Roman"/>
          <w:sz w:val="24"/>
          <w:szCs w:val="24"/>
        </w:rPr>
        <w:t xml:space="preserve">Pasar modal merupakan kegiatan yang berhubungan dengan penawaran umum dan perdagangan efek, perusahaan publik yang berkaitan dengan efek yang diterbitkannya, serta lembaga dan profesi yang berkaitan dengan efek. Pasar modal juga merupakan sistem keuangan yang terorganisasi, termasuk didalamnya adalah bank-bank komersial dan </w:t>
      </w:r>
      <w:r>
        <w:rPr>
          <w:rFonts w:cs="Times New Roman" w:ascii="Times New Roman" w:hAnsi="Times New Roman"/>
          <w:sz w:val="24"/>
          <w:szCs w:val="24"/>
          <w:shd w:fill="FFFFFF" w:val="clear"/>
        </w:rPr>
        <w:t xml:space="preserve">semua lembaga perantara dibidang keuangan, serta keseluruhan surat-surat berharga yang beredar. </w:t>
      </w:r>
      <w:r>
        <w:rPr>
          <w:rFonts w:cs="Times New Roman" w:ascii="Times New Roman" w:hAnsi="Times New Roman"/>
          <w:sz w:val="24"/>
          <w:szCs w:val="24"/>
        </w:rPr>
        <w:t xml:space="preserve">Menurut Widoatmodjo (2008, h.15) Pasar modal dapat dikatakan pasar abstrak, di mana yang diperjualbelikan adalah dana-dana jangka panjang, yaitu dana yang keterikatannya dalam investasi lebih dari satu tahun. Dilihat dari jenisnya </w:t>
      </w:r>
      <w:r>
        <w:rPr>
          <w:rFonts w:cs="Times New Roman" w:ascii="Times New Roman" w:hAnsi="Times New Roman"/>
          <w:sz w:val="24"/>
          <w:szCs w:val="24"/>
          <w:shd w:fill="FFFFFF" w:val="clear"/>
        </w:rPr>
        <w:t>pasar modal memperjualbelikan efek (surat berharga) seperti saham, obligasi, derivatif, dan reksadana (Hariyani dan Serfianto, 2010).</w:t>
      </w:r>
    </w:p>
    <w:p>
      <w:pPr>
        <w:pStyle w:val="Normal"/>
        <w:spacing w:lineRule="auto" w:line="360"/>
        <w:rPr>
          <w:rFonts w:ascii="Times New Roman" w:hAnsi="Times New Roman" w:cs="Times New Roman"/>
          <w:b/>
          <w:b/>
          <w:sz w:val="24"/>
          <w:szCs w:val="24"/>
          <w:highlight w:val="white"/>
        </w:rPr>
      </w:pPr>
      <w:r>
        <w:rPr>
          <w:rFonts w:cs="Times New Roman" w:ascii="Times New Roman" w:hAnsi="Times New Roman"/>
          <w:b/>
          <w:sz w:val="24"/>
          <w:szCs w:val="24"/>
          <w:shd w:fill="FFFFFF" w:val="clear"/>
        </w:rPr>
        <w:t>PROFITABILITAS</w:t>
      </w:r>
    </w:p>
    <w:p>
      <w:pPr>
        <w:pStyle w:val="BodyA"/>
        <w:spacing w:lineRule="auto" w:line="360"/>
        <w:ind w:firstLine="720"/>
        <w:jc w:val="both"/>
        <w:rPr>
          <w:rFonts w:ascii="Times New Roman" w:hAnsi="Times New Roman" w:cs="Times New Roman"/>
          <w:sz w:val="24"/>
          <w:szCs w:val="24"/>
        </w:rPr>
      </w:pPr>
      <w:r>
        <w:rPr>
          <w:rFonts w:cs="Times New Roman" w:ascii="Times New Roman" w:hAnsi="Times New Roman"/>
          <w:sz w:val="24"/>
          <w:szCs w:val="24"/>
        </w:rPr>
        <w:t xml:space="preserve">Profitabilitas merupakan kemampuan suatu perusahaan untuk mendapatkan keuntungan dari usaha yang dijalankan. Profitabilitas menurut Kasmir (2014) yang menyatakan bahwa rasio profitabilitas merupakan rasio untuk menilai kemampuan perusahaan dalam mencari keuntungan.  Profitabilitas berisi pendapatan yang didapatkan oleh perusahaan serta pengeluaran biaya yang dikeluarkan oleh suatu perusahaan. Dimana profitabilitas merupakan pengukuran untuk melihat tingkat keuntungan yang didapatkan oleh suatu perusahaan. Hal ini sangat membantu bagi investor untuk memprediksi seberapa banyak dividen yang dapat dibagikan kepada para pemegang saham. </w:t>
      </w:r>
    </w:p>
    <w:p>
      <w:pPr>
        <w:pStyle w:val="Normal"/>
        <w:spacing w:lineRule="auto" w:line="360"/>
        <w:rPr>
          <w:rFonts w:ascii="Times New Roman" w:hAnsi="Times New Roman" w:cs="Times New Roman"/>
          <w:b/>
          <w:b/>
          <w:sz w:val="24"/>
          <w:szCs w:val="24"/>
          <w:highlight w:val="white"/>
        </w:rPr>
      </w:pPr>
      <w:r>
        <w:rPr>
          <w:rFonts w:cs="Times New Roman" w:ascii="Times New Roman" w:hAnsi="Times New Roman"/>
          <w:b/>
          <w:sz w:val="24"/>
          <w:szCs w:val="24"/>
          <w:shd w:fill="FFFFFF" w:val="clear"/>
        </w:rPr>
        <w:t>RETURN ON ASSETS</w:t>
      </w:r>
    </w:p>
    <w:p>
      <w:pPr>
        <w:pStyle w:val="BodyA"/>
        <w:spacing w:lineRule="auto" w:line="360"/>
        <w:ind w:firstLine="720"/>
        <w:jc w:val="both"/>
        <w:rPr>
          <w:rFonts w:ascii="Times New Roman" w:hAnsi="Times New Roman" w:cs="Times New Roman"/>
          <w:sz w:val="24"/>
          <w:szCs w:val="24"/>
        </w:rPr>
      </w:pPr>
      <w:r>
        <w:rPr>
          <w:rFonts w:cs="Times New Roman" w:ascii="Times New Roman" w:hAnsi="Times New Roman"/>
          <w:sz w:val="24"/>
          <w:szCs w:val="24"/>
          <w:lang w:val="it-IT"/>
        </w:rPr>
        <w:t xml:space="preserve">Profitabilitas dihitung dengan </w:t>
      </w:r>
      <w:r>
        <w:rPr>
          <w:rFonts w:cs="Times New Roman" w:ascii="Times New Roman" w:hAnsi="Times New Roman"/>
          <w:i/>
          <w:sz w:val="24"/>
          <w:szCs w:val="24"/>
          <w:lang w:val="it-IT"/>
        </w:rPr>
        <w:t xml:space="preserve">Return on Assets </w:t>
      </w:r>
      <w:r>
        <w:rPr>
          <w:rFonts w:cs="Times New Roman" w:ascii="Times New Roman" w:hAnsi="Times New Roman"/>
          <w:sz w:val="24"/>
          <w:szCs w:val="24"/>
          <w:lang w:val="it-IT"/>
        </w:rPr>
        <w:t>(ROA)</w:t>
      </w:r>
      <w:r>
        <w:rPr>
          <w:rFonts w:cs="Times New Roman" w:ascii="Times New Roman" w:hAnsi="Times New Roman"/>
          <w:sz w:val="24"/>
          <w:szCs w:val="24"/>
          <w:shd w:fill="FFFFFF" w:val="clear"/>
        </w:rPr>
        <w:t xml:space="preserve"> adalah rasio yang membagi antara laba bersih setelah pajak dengan rata-rata aset pada awal periode dan akhir periode.  Rasio ini digunakan untuk melihat kemampuan perusahaan dalam mengelola setiap nilai aset yang mereka miliki untuk menghasilkan laba bersih setelah pajak. Semakin tinggi nilai ROA sebuah perusahaan maka semakin baik pula kemampuan perusahaan dalam mengelola asetnya.</w:t>
      </w:r>
    </w:p>
    <w:p>
      <w:pPr>
        <w:pStyle w:val="Normal"/>
        <w:spacing w:lineRule="auto" w:line="360"/>
        <w:rPr>
          <w:rFonts w:ascii="Times New Roman" w:hAnsi="Times New Roman" w:cs="Times New Roman"/>
          <w:sz w:val="24"/>
          <w:szCs w:val="24"/>
          <w:shd w:fill="FFFFFF" w:val="clear"/>
        </w:rPr>
      </w:pPr>
      <w:r>
        <w:rPr>
          <w:rFonts w:cs="Times New Roman" w:ascii="Times New Roman" w:hAnsi="Times New Roman"/>
          <w:sz w:val="24"/>
          <w:szCs w:val="24"/>
          <w:shd w:fill="FFFFFF" w:val="clear"/>
        </w:rPr>
      </w:r>
    </w:p>
    <w:p>
      <w:pPr>
        <w:pStyle w:val="Normal"/>
        <w:spacing w:lineRule="auto" w:line="360"/>
        <w:rPr>
          <w:rFonts w:ascii="Times New Roman" w:hAnsi="Times New Roman" w:cs="Times New Roman"/>
          <w:b/>
          <w:b/>
          <w:sz w:val="24"/>
          <w:szCs w:val="24"/>
          <w:highlight w:val="white"/>
        </w:rPr>
      </w:pPr>
      <w:r>
        <w:rPr>
          <w:rFonts w:cs="Times New Roman" w:ascii="Times New Roman" w:hAnsi="Times New Roman"/>
          <w:b/>
          <w:sz w:val="24"/>
          <w:szCs w:val="24"/>
          <w:shd w:fill="FFFFFF" w:val="clear"/>
        </w:rPr>
        <w:t>NET PROFIT MARGIN(NPM)</w:t>
      </w:r>
    </w:p>
    <w:p>
      <w:pPr>
        <w:pStyle w:val="Normal"/>
        <w:spacing w:lineRule="auto" w:line="360"/>
        <w:ind w:firstLine="720"/>
        <w:jc w:val="both"/>
        <w:rPr>
          <w:rFonts w:ascii="Times New Roman" w:hAnsi="Times New Roman" w:cs="Times New Roman"/>
          <w:sz w:val="24"/>
          <w:szCs w:val="24"/>
        </w:rPr>
      </w:pPr>
      <w:r>
        <w:rPr>
          <w:rFonts w:cs="Times New Roman" w:ascii="Times New Roman" w:hAnsi="Times New Roman"/>
          <w:i/>
          <w:sz w:val="24"/>
          <w:szCs w:val="24"/>
        </w:rPr>
        <w:t>Net Profit Margin</w:t>
      </w:r>
      <w:r>
        <w:rPr>
          <w:rFonts w:cs="Times New Roman" w:ascii="Times New Roman" w:hAnsi="Times New Roman"/>
          <w:sz w:val="24"/>
          <w:szCs w:val="24"/>
        </w:rPr>
        <w:t xml:space="preserve"> merupakan persentase dari pendapatan yang tersisa setelah semua biaya operasi, bunga, pajak dan dividen saham preferen (tapi tidak dividen saham biasa) telah dikurangi dari total pendapatan perusahaan dan dibagi volume penjualan. Semakin efisien perusahaan dalam mengendalikan biaya operasi maka semakin besar net incomenya dan semakin baik return sahamnya.</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SOLVABILITAS</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 xml:space="preserve">Solvabilitas menurut Kasmir (2008) mengukur sejauh mana aktiva perusahaan dibiayai oleh hutang. Ada 8 tujuan perusahaan menggunakan solvabilitas menurut Kasmir(2008) yaitu mengetahui posisi perusahaan atas kewajiban terhadap pihak lain, menilai kemampuan perusahaan dalam memenuhi kewajiban yang bersifat tetap, menilai keseimbangan aktiva tetap terhadap modal, mengetahui besarnya aktiva yang dibiayai oleh hutang, mengetahui besarnya modal yang dijadikan jaminan hutang jangka panjang, mengetahui besarnya dana pinjaman yang akan jatih tempo dan perlu dibayar dan mengetahui jumlah hutang yang dibayar dengan modal sendiri. </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DEBT TO EQUITY(DER)</w:t>
      </w:r>
    </w:p>
    <w:p>
      <w:pPr>
        <w:pStyle w:val="Normal"/>
        <w:spacing w:lineRule="auto" w:line="360" w:before="0" w:after="0"/>
        <w:rPr>
          <w:rFonts w:ascii="Times New Roman" w:hAnsi="Times New Roman" w:cs="Times New Roman"/>
          <w:sz w:val="24"/>
          <w:szCs w:val="24"/>
        </w:rPr>
      </w:pPr>
      <w:r>
        <w:rPr>
          <w:rFonts w:cs="Times New Roman" w:ascii="Times New Roman" w:hAnsi="Times New Roman"/>
          <w:i/>
          <w:sz w:val="24"/>
          <w:szCs w:val="24"/>
        </w:rPr>
        <w:t>Debt to Equity Ratio</w:t>
      </w:r>
      <w:r>
        <w:rPr>
          <w:rFonts w:cs="Times New Roman" w:ascii="Times New Roman" w:hAnsi="Times New Roman"/>
          <w:sz w:val="24"/>
          <w:szCs w:val="24"/>
        </w:rPr>
        <w:t xml:space="preserve"> adalah rasio yang mengukur penggunaan hutang sebagai sumber pembiayaan. Ratio ini menunjukkan besarnya hutang terhadap modal perusahaan. Semakin besar ratio ini semakin beresiko karena kemungkinan gagal bayar semakin tinggi (insolvent).</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PERATAAN LABA</w:t>
      </w:r>
    </w:p>
    <w:p>
      <w:pPr>
        <w:pStyle w:val="Normal"/>
        <w:spacing w:lineRule="auto" w:line="360" w:before="0" w:after="0"/>
        <w:rPr>
          <w:rFonts w:ascii="Times New Roman" w:hAnsi="Times New Roman" w:eastAsia="MS Mincho" w:cs="Times New Roman"/>
          <w:sz w:val="24"/>
          <w:szCs w:val="24"/>
          <w:lang w:eastAsia="id-ID"/>
        </w:rPr>
      </w:pPr>
      <w:r>
        <w:rPr>
          <w:rFonts w:eastAsia="MS Mincho" w:cs="Times New Roman" w:ascii="Times New Roman" w:hAnsi="Times New Roman"/>
          <w:sz w:val="24"/>
          <w:szCs w:val="24"/>
          <w:lang w:eastAsia="id-ID"/>
        </w:rPr>
        <w:t xml:space="preserve">Perataan Laba adalah suatu sarana yang digunakan managemen untuk mengurangi fluktuasi laba yang dilaporkan agar sesuai target yang diinginkan baik artifisial melalui metode akuntansi, maupun secara riil melalui transaksi. Perataan Laba merupakan tehnik </w:t>
      </w:r>
      <w:r>
        <w:rPr>
          <w:rFonts w:eastAsia="MS Mincho" w:cs="Times New Roman" w:ascii="Times New Roman" w:hAnsi="Times New Roman"/>
          <w:i/>
          <w:sz w:val="24"/>
          <w:szCs w:val="24"/>
          <w:lang w:eastAsia="id-ID"/>
        </w:rPr>
        <w:t>earning management</w:t>
      </w:r>
      <w:r>
        <w:rPr>
          <w:rFonts w:eastAsia="MS Mincho" w:cs="Times New Roman" w:ascii="Times New Roman" w:hAnsi="Times New Roman"/>
          <w:sz w:val="24"/>
          <w:szCs w:val="24"/>
          <w:lang w:eastAsia="id-ID"/>
        </w:rPr>
        <w:t xml:space="preserve"> yang melaporkan hasil ekonomi yang tepat tetapi tidak sesuai dengan periodenya. Tujuan dari Perataan Laba adalah perubahan income yang </w:t>
      </w:r>
      <w:r>
        <w:rPr>
          <w:rFonts w:eastAsia="MS Mincho" w:cs="Times New Roman" w:ascii="Times New Roman" w:hAnsi="Times New Roman"/>
          <w:i/>
          <w:sz w:val="24"/>
          <w:szCs w:val="24"/>
          <w:lang w:eastAsia="id-ID"/>
        </w:rPr>
        <w:t>smooth</w:t>
      </w:r>
      <w:r>
        <w:rPr>
          <w:rFonts w:eastAsia="MS Mincho" w:cs="Times New Roman" w:ascii="Times New Roman" w:hAnsi="Times New Roman"/>
          <w:sz w:val="24"/>
          <w:szCs w:val="24"/>
          <w:lang w:eastAsia="id-ID"/>
        </w:rPr>
        <w:t>, tidak berfluktuasi misalnya pendapatan dimasa yang akan datang dapat dialihkan ke masa sekarang. Perataan Laba juga bisa dilakukan atas biaya, bila terjadi kerugian ditahun sekarang, maka kerugian tersebut dapat dibagi di periode sekarang dan periode mendatang. Ada 2 jenis Perataan Laba yaitu: Real Smoothing dan Artificial Smoothing</w:t>
      </w:r>
    </w:p>
    <w:p>
      <w:pPr>
        <w:pStyle w:val="Normal"/>
        <w:spacing w:lineRule="auto" w:line="480"/>
        <w:jc w:val="both"/>
        <w:rPr>
          <w:rFonts w:ascii="Times New Roman" w:hAnsi="Times New Roman" w:eastAsia="MS Mincho" w:cs="Times New Roman"/>
          <w:sz w:val="24"/>
          <w:szCs w:val="24"/>
          <w:lang w:eastAsia="id-ID"/>
        </w:rPr>
      </w:pPr>
      <w:r>
        <w:rPr>
          <w:rFonts w:eastAsia="MS Mincho" w:cs="Times New Roman" w:ascii="Times New Roman" w:hAnsi="Times New Roman"/>
          <w:sz w:val="24"/>
          <w:szCs w:val="24"/>
          <w:lang w:eastAsia="id-ID"/>
        </w:rPr>
      </w:r>
    </w:p>
    <w:p>
      <w:pPr>
        <w:pStyle w:val="Normal"/>
        <w:spacing w:lineRule="auto" w:line="480"/>
        <w:jc w:val="both"/>
        <w:rPr>
          <w:rFonts w:ascii="Times New Roman" w:hAnsi="Times New Roman" w:eastAsia="MS Mincho" w:cs="Times New Roman"/>
          <w:b/>
          <w:b/>
          <w:sz w:val="24"/>
          <w:szCs w:val="24"/>
          <w:lang w:eastAsia="id-ID"/>
        </w:rPr>
      </w:pPr>
      <w:r>
        <w:rPr>
          <w:rFonts w:eastAsia="MS Mincho" w:cs="Times New Roman" w:ascii="Times New Roman" w:hAnsi="Times New Roman"/>
          <w:b/>
          <w:sz w:val="24"/>
          <w:szCs w:val="24"/>
          <w:lang w:eastAsia="id-ID"/>
        </w:rPr>
        <w:t>RETURN SAHAM</w:t>
      </w:r>
    </w:p>
    <w:p>
      <w:pPr>
        <w:pStyle w:val="Normal"/>
        <w:spacing w:lineRule="auto" w:line="360" w:before="0" w:after="0"/>
        <w:rPr>
          <w:rFonts w:ascii="Times New Roman" w:hAnsi="Times New Roman" w:cs="Times New Roman"/>
          <w:sz w:val="24"/>
          <w:szCs w:val="24"/>
        </w:rPr>
      </w:pPr>
      <w:r>
        <w:rPr>
          <w:rFonts w:eastAsia="MS Mincho" w:cs="Times New Roman" w:ascii="Times New Roman" w:hAnsi="Times New Roman"/>
          <w:sz w:val="24"/>
          <w:szCs w:val="24"/>
          <w:lang w:eastAsia="id-ID"/>
        </w:rPr>
        <w:t xml:space="preserve">Konsep </w:t>
      </w:r>
      <w:r>
        <w:rPr>
          <w:rFonts w:eastAsia="MS Mincho" w:cs="Times New Roman" w:ascii="Times New Roman" w:hAnsi="Times New Roman"/>
          <w:i/>
          <w:sz w:val="24"/>
          <w:szCs w:val="24"/>
          <w:lang w:eastAsia="id-ID"/>
        </w:rPr>
        <w:t>return</w:t>
      </w:r>
      <w:r>
        <w:rPr>
          <w:rFonts w:eastAsia="MS Mincho" w:cs="Times New Roman" w:ascii="Times New Roman" w:hAnsi="Times New Roman"/>
          <w:sz w:val="24"/>
          <w:szCs w:val="24"/>
          <w:lang w:eastAsia="id-ID"/>
        </w:rPr>
        <w:t xml:space="preserve"> menurut Ang (1997) adalah kembalian adalah keuntungan yang dinikmati pemodal atas suatu investasi yang dilakukan. Return Saham adalah income yang diperoleh shareholders atas investasi yang dilakukan atas perusahaan tertentu.. Return saham terbagi atas return yang direalisasi (</w:t>
      </w:r>
      <w:r>
        <w:rPr>
          <w:rFonts w:cs="Times New Roman" w:ascii="Times New Roman" w:hAnsi="Times New Roman"/>
          <w:i/>
          <w:sz w:val="24"/>
          <w:szCs w:val="24"/>
        </w:rPr>
        <w:t>Realized Return)</w:t>
      </w:r>
      <w:r>
        <w:rPr>
          <w:rFonts w:eastAsia="MS Mincho" w:cs="Times New Roman" w:ascii="Times New Roman" w:hAnsi="Times New Roman"/>
          <w:sz w:val="24"/>
          <w:szCs w:val="24"/>
          <w:lang w:eastAsia="id-ID"/>
        </w:rPr>
        <w:t xml:space="preserve"> dan return ekspektasi (</w:t>
      </w:r>
      <w:r>
        <w:rPr>
          <w:rFonts w:cs="Times New Roman" w:ascii="Times New Roman" w:hAnsi="Times New Roman"/>
          <w:i/>
          <w:sz w:val="24"/>
          <w:szCs w:val="24"/>
        </w:rPr>
        <w:t>Expected Return)</w:t>
      </w:r>
      <w:r>
        <w:rPr>
          <w:rFonts w:eastAsia="MS Mincho" w:cs="Times New Roman" w:ascii="Times New Roman" w:hAnsi="Times New Roman"/>
          <w:sz w:val="24"/>
          <w:szCs w:val="24"/>
          <w:lang w:eastAsia="id-ID"/>
        </w:rPr>
        <w:t xml:space="preserve"> .</w:t>
      </w:r>
      <w:r>
        <w:rPr>
          <w:i/>
        </w:rPr>
        <w:t xml:space="preserve"> </w:t>
      </w:r>
      <w:r>
        <w:rPr>
          <w:rFonts w:cs="Times New Roman" w:ascii="Times New Roman" w:hAnsi="Times New Roman"/>
          <w:i/>
          <w:sz w:val="24"/>
          <w:szCs w:val="24"/>
        </w:rPr>
        <w:t xml:space="preserve">Realized Return, </w:t>
      </w:r>
      <w:r>
        <w:rPr>
          <w:rFonts w:cs="Times New Roman" w:ascii="Times New Roman" w:hAnsi="Times New Roman"/>
          <w:sz w:val="24"/>
          <w:szCs w:val="24"/>
        </w:rPr>
        <w:t xml:space="preserve">yaitu </w:t>
      </w:r>
      <w:r>
        <w:rPr>
          <w:rFonts w:cs="Times New Roman" w:ascii="Times New Roman" w:hAnsi="Times New Roman"/>
          <w:i/>
          <w:sz w:val="24"/>
          <w:szCs w:val="24"/>
        </w:rPr>
        <w:t>interim cash flows (dividends) and fnal cash flows (from selling the investment) are known during the holding period calculation, which is also called ex-post calculation</w:t>
      </w:r>
      <w:r>
        <w:rPr>
          <w:rFonts w:cs="Times New Roman" w:ascii="Times New Roman" w:hAnsi="Times New Roman"/>
          <w:sz w:val="24"/>
          <w:szCs w:val="24"/>
        </w:rPr>
        <w:t xml:space="preserve"> yang artinya uang yang diterima berupa dividend dan penjualan dari investasi selama periode yang ditahan. (Investopedia, 2017).</w:t>
      </w:r>
      <w:r>
        <w:rPr>
          <w:rFonts w:cs="Times New Roman" w:ascii="Times New Roman" w:hAnsi="Times New Roman"/>
          <w:i/>
          <w:sz w:val="24"/>
          <w:szCs w:val="24"/>
        </w:rPr>
        <w:t>Expected Return</w:t>
      </w:r>
      <w:r>
        <w:rPr>
          <w:rFonts w:cs="Times New Roman" w:ascii="Times New Roman" w:hAnsi="Times New Roman"/>
          <w:sz w:val="24"/>
          <w:szCs w:val="24"/>
        </w:rPr>
        <w:t xml:space="preserve">, yaitu </w:t>
      </w:r>
      <w:r>
        <w:rPr>
          <w:rFonts w:cs="Times New Roman" w:ascii="Times New Roman" w:hAnsi="Times New Roman"/>
          <w:i/>
          <w:sz w:val="24"/>
          <w:szCs w:val="24"/>
        </w:rPr>
        <w:t xml:space="preserve">calculated as the weighted average of the likely profits of the assets in the portfolio, weighted by the likely profits of each asset class </w:t>
      </w:r>
      <w:r>
        <w:rPr>
          <w:rFonts w:cs="Times New Roman" w:ascii="Times New Roman" w:hAnsi="Times New Roman"/>
          <w:sz w:val="24"/>
          <w:szCs w:val="24"/>
        </w:rPr>
        <w:t>yang artinya untuk mengukur rata-rata keuntungan portofolio aset pada setiap kelas aset tersebut. (Investopedia, 2017). Return di hitung dengan rumus sebagai berikut:</w:t>
      </w:r>
    </w:p>
    <w:p>
      <w:pPr>
        <w:pStyle w:val="ListParagraph"/>
        <w:spacing w:lineRule="auto" w:line="360"/>
        <w:jc w:val="both"/>
        <w:rPr>
          <w:rFonts w:eastAsia="Times New Roman" w:cs="Times New Roman"/>
          <w:lang w:eastAsia="en-US"/>
        </w:rPr>
      </w:pPr>
      <w:r>
        <mc:AlternateContent>
          <mc:Choice Requires="wps">
            <w:drawing>
              <wp:anchor behindDoc="0" distT="0" distB="0" distL="0" distR="0" simplePos="0" locked="0" layoutInCell="1" allowOverlap="1" relativeHeight="2">
                <wp:simplePos x="0" y="0"/>
                <wp:positionH relativeFrom="column">
                  <wp:posOffset>1128395</wp:posOffset>
                </wp:positionH>
                <wp:positionV relativeFrom="line">
                  <wp:posOffset>225425</wp:posOffset>
                </wp:positionV>
                <wp:extent cx="728980" cy="1270"/>
                <wp:effectExtent l="0" t="0" r="14605" b="19050"/>
                <wp:wrapNone/>
                <wp:docPr id="1" name="Straight Connector 1"/>
                <a:graphic xmlns:a="http://schemas.openxmlformats.org/drawingml/2006/main">
                  <a:graphicData uri="http://schemas.microsoft.com/office/word/2010/wordprocessingShape">
                    <wps:wsp>
                      <wps:cNvSpPr/>
                      <wps:spPr>
                        <a:xfrm>
                          <a:off x="0" y="0"/>
                          <a:ext cx="728280" cy="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88.85pt,17.75pt" to="146.15pt,17.75pt" ID="Straight Connector 1" stroked="t" style="position:absolute">
                <v:stroke color="black" weight="9360" joinstyle="round" endcap="flat"/>
                <v:fill o:detectmouseclick="t" on="false"/>
              </v:line>
            </w:pict>
          </mc:Fallback>
        </mc:AlternateContent>
      </w:r>
      <w:r>
        <w:rPr>
          <w:rFonts w:cs="Times New Roman"/>
          <w:color w:val="222222"/>
          <w:shd w:fill="FFFFFF" w:val="clear"/>
        </w:rPr>
        <w:t>R</w:t>
      </w:r>
      <w:r>
        <w:rPr>
          <w:rFonts w:cs="Times New Roman"/>
          <w:color w:val="222222"/>
          <w:shd w:fill="FFFFFF" w:val="clear"/>
        </w:rPr>
        <w:t>eturn =     (Pt-Pt-1)</w:t>
      </w:r>
      <w:r>
        <w:rPr>
          <w:rFonts w:eastAsia="Times New Roman" w:cs="Times New Roman"/>
          <w:lang w:eastAsia="en-US"/>
        </w:rPr>
        <w:t xml:space="preserve"> </w:t>
      </w:r>
    </w:p>
    <w:p>
      <w:pPr>
        <w:pStyle w:val="ListParagraph"/>
        <w:spacing w:lineRule="auto" w:line="360"/>
        <w:ind w:left="1440" w:firstLine="720"/>
        <w:jc w:val="both"/>
        <w:rPr>
          <w:rFonts w:cs="Times New Roman"/>
          <w:color w:val="222222"/>
          <w:highlight w:val="white"/>
        </w:rPr>
      </w:pPr>
      <w:r>
        <w:rPr>
          <w:rFonts w:cs="Times New Roman"/>
          <w:color w:val="222222"/>
          <w:shd w:fill="FFFFFF" w:val="clear"/>
        </w:rPr>
        <w:t>Pt-1</w:t>
      </w:r>
    </w:p>
    <w:p>
      <w:pPr>
        <w:pStyle w:val="Normal"/>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shd w:fill="FFFFFF" w:val="clear"/>
        </w:rPr>
        <w:t>Dimana Pt adalah harga saham periode ke-t dan Pt-1 adalah harga periode sebelumnya (t-1). Perhitungan ini digunakan untuk mengukur tingkat pengembalian saham yang didapatkan oleh perusahaan. Harus dipertimbangkan juga faktor resiko dalam return saham. Menurut Margaretha (2014: 67)</w:t>
      </w:r>
      <w:r>
        <w:rPr/>
        <w:t xml:space="preserve"> </w:t>
      </w:r>
      <w:r>
        <w:rPr>
          <w:rFonts w:cs="Times New Roman" w:ascii="Times New Roman" w:hAnsi="Times New Roman"/>
          <w:sz w:val="24"/>
          <w:szCs w:val="24"/>
        </w:rPr>
        <w:t xml:space="preserve">Risiko memiliki arti probabilitas tidak tercapainya tingkat keuntungan yang diharapkan atau juga berarti kemungkinan </w:t>
      </w:r>
      <w:r>
        <w:rPr>
          <w:rFonts w:cs="Times New Roman" w:ascii="Times New Roman" w:hAnsi="Times New Roman"/>
          <w:i/>
          <w:sz w:val="24"/>
          <w:szCs w:val="24"/>
        </w:rPr>
        <w:t>return</w:t>
      </w:r>
      <w:r>
        <w:rPr>
          <w:rFonts w:cs="Times New Roman" w:ascii="Times New Roman" w:hAnsi="Times New Roman"/>
          <w:sz w:val="24"/>
          <w:szCs w:val="24"/>
        </w:rPr>
        <w:t xml:space="preserve"> yang diterima menyimpang dari </w:t>
      </w:r>
      <w:r>
        <w:rPr>
          <w:rFonts w:cs="Times New Roman" w:ascii="Times New Roman" w:hAnsi="Times New Roman"/>
          <w:i/>
          <w:sz w:val="24"/>
          <w:szCs w:val="24"/>
        </w:rPr>
        <w:t>return</w:t>
      </w:r>
      <w:r>
        <w:rPr>
          <w:rFonts w:cs="Times New Roman" w:ascii="Times New Roman" w:hAnsi="Times New Roman"/>
          <w:sz w:val="24"/>
          <w:szCs w:val="24"/>
        </w:rPr>
        <w:t xml:space="preserve"> yang diharapkan oleh perusahaan.</w:t>
      </w:r>
    </w:p>
    <w:p>
      <w:pPr>
        <w:pStyle w:val="Normal"/>
        <w:spacing w:lineRule="auto" w:line="360"/>
        <w:jc w:val="both"/>
        <w:rPr>
          <w:rFonts w:ascii="Times New Roman" w:hAnsi="Times New Roman" w:cs="Times New Roman"/>
          <w:b/>
          <w:b/>
          <w:color w:val="222222"/>
          <w:sz w:val="28"/>
          <w:szCs w:val="28"/>
          <w:highlight w:val="white"/>
        </w:rPr>
      </w:pPr>
      <w:r>
        <w:rPr>
          <w:rFonts w:cs="Times New Roman" w:ascii="Times New Roman" w:hAnsi="Times New Roman"/>
          <w:b/>
          <w:color w:val="222222"/>
          <w:sz w:val="28"/>
          <w:szCs w:val="28"/>
          <w:shd w:fill="FFFFFF" w:val="clear"/>
        </w:rPr>
        <w:t>METODE PENELITIAN</w:t>
      </w:r>
    </w:p>
    <w:p>
      <w:pPr>
        <w:pStyle w:val="Normal"/>
        <w:spacing w:lineRule="auto" w:line="360"/>
        <w:jc w:val="both"/>
        <w:rPr>
          <w:rFonts w:ascii="Times New Roman" w:hAnsi="Times New Roman" w:cs="Times New Roman"/>
          <w:b/>
          <w:b/>
          <w:color w:val="222222"/>
          <w:sz w:val="24"/>
          <w:szCs w:val="24"/>
          <w:highlight w:val="white"/>
        </w:rPr>
      </w:pPr>
      <w:r>
        <w:rPr>
          <w:rFonts w:cs="Times New Roman" w:ascii="Times New Roman" w:hAnsi="Times New Roman"/>
          <w:b/>
          <w:color w:val="222222"/>
          <w:sz w:val="24"/>
          <w:szCs w:val="24"/>
          <w:shd w:fill="FFFFFF" w:val="clear"/>
        </w:rPr>
        <w:t>SAMPLE DAN DATA</w:t>
      </w:r>
    </w:p>
    <w:p>
      <w:pPr>
        <w:pStyle w:val="Normal"/>
        <w:spacing w:lineRule="auto" w:line="360"/>
        <w:jc w:val="both"/>
        <w:rPr/>
      </w:pPr>
      <w:r>
        <w:rPr>
          <w:rFonts w:cs="Times New Roman" w:ascii="Times New Roman" w:hAnsi="Times New Roman"/>
          <w:color w:val="222222"/>
          <w:sz w:val="24"/>
          <w:szCs w:val="24"/>
          <w:shd w:fill="FFFFFF" w:val="clear"/>
        </w:rPr>
        <w:t xml:space="preserve">Perusahaan yang dijadikan sample adalah perusahaan manufaktur yang terdaftar di Bursa Efek Indonesia periode 2012-2016 sebanyak 41 perusahaan dengan data keuangan lengkap dan bebas dari outlier. Sumber data diambil dari </w:t>
      </w:r>
      <w:hyperlink r:id="rId2">
        <w:r>
          <w:rPr>
            <w:rStyle w:val="InternetLink"/>
            <w:rFonts w:cs="Times New Roman" w:ascii="Times New Roman" w:hAnsi="Times New Roman"/>
            <w:sz w:val="24"/>
            <w:szCs w:val="24"/>
            <w:highlight w:val="white"/>
          </w:rPr>
          <w:t>www.idx.co.id</w:t>
        </w:r>
      </w:hyperlink>
      <w:r>
        <w:rPr>
          <w:rFonts w:cs="Times New Roman" w:ascii="Times New Roman" w:hAnsi="Times New Roman"/>
          <w:color w:val="222222"/>
          <w:sz w:val="24"/>
          <w:szCs w:val="24"/>
          <w:shd w:fill="FFFFFF" w:val="clear"/>
        </w:rPr>
        <w:t xml:space="preserve"> dan Yahoo Finance.</w:t>
      </w:r>
    </w:p>
    <w:p>
      <w:pPr>
        <w:pStyle w:val="Normal"/>
        <w:spacing w:lineRule="auto" w:line="360"/>
        <w:jc w:val="both"/>
        <w:rPr>
          <w:rFonts w:ascii="Times New Roman" w:hAnsi="Times New Roman" w:cs="Times New Roman"/>
          <w:b/>
          <w:b/>
          <w:color w:val="222222"/>
          <w:sz w:val="24"/>
          <w:szCs w:val="24"/>
          <w:highlight w:val="white"/>
        </w:rPr>
      </w:pPr>
      <w:r>
        <w:rPr>
          <w:rFonts w:cs="Times New Roman" w:ascii="Times New Roman" w:hAnsi="Times New Roman"/>
          <w:b/>
          <w:color w:val="222222"/>
          <w:sz w:val="24"/>
          <w:szCs w:val="24"/>
          <w:shd w:fill="FFFFFF" w:val="clear"/>
        </w:rPr>
        <w:t>OPERASIONAL VARIABEL</w:t>
      </w:r>
    </w:p>
    <w:p>
      <w:pPr>
        <w:pStyle w:val="Normal"/>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shd w:fill="FFFFFF" w:val="clear"/>
        </w:rPr>
        <w:t xml:space="preserve">Variabel yang digunakan dalam penelitian ini adalah variable independen dan variabel dependen. Variabel independen yang digunakan adalah </w:t>
      </w:r>
      <w:r>
        <w:rPr>
          <w:rFonts w:cs="Times New Roman" w:ascii="Times New Roman" w:hAnsi="Times New Roman"/>
          <w:i/>
          <w:color w:val="222222"/>
          <w:sz w:val="24"/>
          <w:szCs w:val="24"/>
          <w:shd w:fill="FFFFFF" w:val="clear"/>
        </w:rPr>
        <w:t>Return On Assets</w:t>
      </w:r>
      <w:r>
        <w:rPr>
          <w:rFonts w:cs="Times New Roman" w:ascii="Times New Roman" w:hAnsi="Times New Roman"/>
          <w:color w:val="222222"/>
          <w:sz w:val="24"/>
          <w:szCs w:val="24"/>
          <w:shd w:fill="FFFFFF" w:val="clear"/>
        </w:rPr>
        <w:t>(X</w:t>
      </w:r>
      <w:r>
        <w:rPr>
          <w:rFonts w:cs="Times New Roman" w:ascii="Times New Roman" w:hAnsi="Times New Roman"/>
          <w:color w:val="222222"/>
          <w:sz w:val="16"/>
          <w:szCs w:val="24"/>
          <w:shd w:fill="FFFFFF" w:val="clear"/>
        </w:rPr>
        <w:t>1</w:t>
      </w:r>
      <w:r>
        <w:rPr>
          <w:rFonts w:cs="Times New Roman" w:ascii="Times New Roman" w:hAnsi="Times New Roman"/>
          <w:color w:val="222222"/>
          <w:sz w:val="24"/>
          <w:szCs w:val="24"/>
          <w:shd w:fill="FFFFFF" w:val="clear"/>
        </w:rPr>
        <w:t xml:space="preserve">), </w:t>
      </w:r>
      <w:r>
        <w:rPr>
          <w:rFonts w:cs="Times New Roman" w:ascii="Times New Roman" w:hAnsi="Times New Roman"/>
          <w:i/>
          <w:color w:val="222222"/>
          <w:sz w:val="24"/>
          <w:szCs w:val="24"/>
          <w:shd w:fill="FFFFFF" w:val="clear"/>
        </w:rPr>
        <w:t>Debt to Equity(</w:t>
      </w:r>
      <w:r>
        <w:rPr>
          <w:rFonts w:cs="Times New Roman" w:ascii="Times New Roman" w:hAnsi="Times New Roman"/>
          <w:color w:val="222222"/>
          <w:sz w:val="24"/>
          <w:szCs w:val="24"/>
          <w:shd w:fill="FFFFFF" w:val="clear"/>
        </w:rPr>
        <w:t>X</w:t>
      </w:r>
      <w:r>
        <w:rPr>
          <w:rFonts w:cs="Times New Roman" w:ascii="Times New Roman" w:hAnsi="Times New Roman"/>
          <w:color w:val="222222"/>
          <w:sz w:val="16"/>
          <w:szCs w:val="24"/>
          <w:shd w:fill="FFFFFF" w:val="clear"/>
        </w:rPr>
        <w:t>2</w:t>
      </w:r>
      <w:r>
        <w:rPr>
          <w:rFonts w:cs="Times New Roman" w:ascii="Times New Roman" w:hAnsi="Times New Roman"/>
          <w:i/>
          <w:color w:val="222222"/>
          <w:sz w:val="24"/>
          <w:szCs w:val="24"/>
          <w:shd w:fill="FFFFFF" w:val="clear"/>
        </w:rPr>
        <w:t>) Net Profit Margin</w:t>
      </w:r>
      <w:r>
        <w:rPr>
          <w:rFonts w:cs="Times New Roman" w:ascii="Times New Roman" w:hAnsi="Times New Roman"/>
          <w:color w:val="222222"/>
          <w:sz w:val="24"/>
          <w:szCs w:val="24"/>
          <w:shd w:fill="FFFFFF" w:val="clear"/>
        </w:rPr>
        <w:t xml:space="preserve"> (X</w:t>
      </w:r>
      <w:r>
        <w:rPr>
          <w:rFonts w:cs="Times New Roman" w:ascii="Times New Roman" w:hAnsi="Times New Roman"/>
          <w:color w:val="222222"/>
          <w:sz w:val="16"/>
          <w:szCs w:val="24"/>
          <w:shd w:fill="FFFFFF" w:val="clear"/>
        </w:rPr>
        <w:t>3</w:t>
      </w:r>
      <w:r>
        <w:rPr>
          <w:rFonts w:cs="Times New Roman" w:ascii="Times New Roman" w:hAnsi="Times New Roman"/>
          <w:color w:val="222222"/>
          <w:sz w:val="24"/>
          <w:szCs w:val="24"/>
          <w:shd w:fill="FFFFFF" w:val="clear"/>
        </w:rPr>
        <w:t>), dan Index Eckel(X</w:t>
      </w:r>
      <w:r>
        <w:rPr>
          <w:rFonts w:cs="Times New Roman" w:ascii="Times New Roman" w:hAnsi="Times New Roman"/>
          <w:color w:val="222222"/>
          <w:sz w:val="16"/>
          <w:szCs w:val="24"/>
          <w:shd w:fill="FFFFFF" w:val="clear"/>
        </w:rPr>
        <w:t>4</w:t>
      </w:r>
      <w:r>
        <w:rPr>
          <w:rFonts w:cs="Times New Roman" w:ascii="Times New Roman" w:hAnsi="Times New Roman"/>
          <w:color w:val="222222"/>
          <w:sz w:val="24"/>
          <w:szCs w:val="24"/>
          <w:shd w:fill="FFFFFF" w:val="clear"/>
        </w:rPr>
        <w:t>). Variabel dependen adalah return saham. Sehingga bila di gambarkan dalam kerangka pemikiran menjadi sebagai berikut:</w:t>
      </w:r>
    </w:p>
    <w:p>
      <w:pPr>
        <w:pStyle w:val="ListParagraph"/>
        <w:shd w:val="clear" w:color="auto" w:fill="FFFFFF"/>
        <w:spacing w:lineRule="auto" w:line="360"/>
        <w:ind w:left="0" w:hanging="0"/>
        <w:rPr>
          <w:rFonts w:eastAsia="Times New Roman"/>
          <w:b/>
          <w:b/>
        </w:rPr>
      </w:pPr>
      <w:r>
        <w:rPr>
          <w:rFonts w:eastAsia="Times New Roman"/>
          <w:b/>
        </w:rPr>
        <w:t>Kerangka Pemikiran</w:t>
      </w:r>
    </w:p>
    <w:p>
      <w:pPr>
        <w:pStyle w:val="Normal"/>
        <w:spacing w:lineRule="auto" w:line="360"/>
        <w:jc w:val="both"/>
        <w:rPr>
          <w:u w:val="single"/>
        </w:rPr>
      </w:pPr>
      <w:r>
        <w:rPr>
          <w:u w:val="single"/>
        </w:rPr>
      </w:r>
    </w:p>
    <w:p>
      <w:pPr>
        <w:pStyle w:val="Normal"/>
        <w:spacing w:lineRule="auto" w:line="360"/>
        <w:ind w:firstLine="720"/>
        <w:jc w:val="both"/>
        <w:rPr>
          <w:rFonts w:ascii="Times New Roman" w:hAnsi="Times New Roman" w:cs="Times New Roman"/>
          <w:b/>
          <w:b/>
          <w:u w:val="single"/>
        </w:rPr>
      </w:pPr>
      <w:r>
        <w:rPr>
          <w:rFonts w:cs="Times New Roman" w:ascii="Times New Roman" w:hAnsi="Times New Roman"/>
          <w:u w:val="single"/>
        </w:rPr>
        <w:t>Variabel Independen</w:t>
        <w:tab/>
      </w:r>
      <w:r>
        <w:rPr>
          <w:rFonts w:cs="Times New Roman" w:ascii="Times New Roman" w:hAnsi="Times New Roman"/>
          <w:b/>
        </w:rPr>
        <w:tab/>
        <w:tab/>
        <w:tab/>
        <w:tab/>
      </w:r>
      <w:r>
        <w:rPr>
          <w:rFonts w:cs="Times New Roman" w:ascii="Times New Roman" w:hAnsi="Times New Roman"/>
          <w:u w:val="single"/>
        </w:rPr>
        <w:t>Variabel Dependen</w:t>
      </w:r>
    </w:p>
    <w:p>
      <w:pPr>
        <w:pStyle w:val="ListParagraph"/>
        <w:spacing w:lineRule="auto" w:line="360"/>
        <w:jc w:val="both"/>
        <w:rPr>
          <w:rFonts w:cs="Times New Roman"/>
          <w:b/>
          <w:b/>
        </w:rPr>
      </w:pPr>
      <w:r>
        <w:rPr>
          <w:rFonts w:cs="Times New Roman"/>
          <w:b/>
        </w:rPr>
        <mc:AlternateContent>
          <mc:Choice Requires="wps">
            <w:drawing>
              <wp:anchor behindDoc="0" distT="0" distB="0" distL="114300" distR="114300" simplePos="0" locked="0" layoutInCell="1" allowOverlap="1" relativeHeight="3" wp14:anchorId="27B30B2C">
                <wp:simplePos x="0" y="0"/>
                <wp:positionH relativeFrom="column">
                  <wp:posOffset>95885</wp:posOffset>
                </wp:positionH>
                <wp:positionV relativeFrom="paragraph">
                  <wp:posOffset>10160</wp:posOffset>
                </wp:positionV>
                <wp:extent cx="1871345" cy="640715"/>
                <wp:effectExtent l="0" t="0" r="15240" b="26670"/>
                <wp:wrapNone/>
                <wp:docPr id="2" name="Rectangle 9"/>
                <a:graphic xmlns:a="http://schemas.openxmlformats.org/drawingml/2006/main">
                  <a:graphicData uri="http://schemas.microsoft.com/office/word/2010/wordprocessingShape">
                    <wps:wsp>
                      <wps:cNvSpPr/>
                      <wps:spPr>
                        <a:xfrm>
                          <a:off x="0" y="0"/>
                          <a:ext cx="1870560" cy="640080"/>
                        </a:xfrm>
                        <a:prstGeom prst="rect">
                          <a:avLst/>
                        </a:prstGeom>
                        <a:solidFill>
                          <a:srgbClr val="ffffff"/>
                        </a:solidFill>
                        <a:ln w="25560">
                          <a:solidFill>
                            <a:srgbClr val="000000"/>
                          </a:solidFill>
                          <a:round/>
                        </a:ln>
                      </wps:spPr>
                      <wps:style>
                        <a:lnRef idx="0"/>
                        <a:fillRef idx="0"/>
                        <a:effectRef idx="0"/>
                        <a:fontRef idx="minor"/>
                      </wps:style>
                      <wps:txbx>
                        <w:txbxContent>
                          <w:p>
                            <w:pPr>
                              <w:pStyle w:val="FrameContents"/>
                              <w:ind w:firstLine="720"/>
                              <w:rPr>
                                <w:i/>
                                <w:i/>
                              </w:rPr>
                            </w:pPr>
                            <w:r>
                              <w:rPr>
                                <w:i/>
                                <w:color w:val="auto"/>
                              </w:rPr>
                              <w:t>Return On Asset</w:t>
                            </w:r>
                          </w:p>
                          <w:p>
                            <w:pPr>
                              <w:pStyle w:val="FrameContents"/>
                              <w:jc w:val="center"/>
                              <w:rPr>
                                <w:color w:val="auto"/>
                              </w:rPr>
                            </w:pPr>
                            <w:r>
                              <w:rPr>
                                <w:color w:val="auto"/>
                              </w:rPr>
                              <w:t>(X1)</w:t>
                            </w:r>
                          </w:p>
                          <w:p>
                            <w:pPr>
                              <w:pStyle w:val="FrameContents"/>
                              <w:rPr>
                                <w:color w:val="auto"/>
                              </w:rPr>
                            </w:pPr>
                            <w:r>
                              <w:rPr>
                                <w:color w:val="auto"/>
                              </w:rPr>
                            </w:r>
                          </w:p>
                          <w:p>
                            <w:pPr>
                              <w:pStyle w:val="FrameContents"/>
                              <w:spacing w:before="0" w:after="200"/>
                              <w:jc w:val="center"/>
                              <w:rPr>
                                <w:color w:val="auto"/>
                              </w:rPr>
                            </w:pPr>
                            <w:r>
                              <w:rPr>
                                <w:color w:val="auto"/>
                              </w:rPr>
                              <w:t>(X1)</w:t>
                            </w:r>
                          </w:p>
                        </w:txbxContent>
                      </wps:txbx>
                      <wps:bodyPr anchor="ctr">
                        <a:prstTxWarp prst="textNoShape"/>
                        <a:noAutofit/>
                      </wps:bodyPr>
                    </wps:wsp>
                  </a:graphicData>
                </a:graphic>
              </wp:anchor>
            </w:drawing>
          </mc:Choice>
          <mc:Fallback>
            <w:pict>
              <v:rect id="shape_0" ID="Rectangle 9" fillcolor="white" stroked="t" style="position:absolute;margin-left:7.55pt;margin-top:0.8pt;width:147.25pt;height:50.35pt" wp14:anchorId="27B30B2C">
                <w10:wrap type="square"/>
                <v:fill o:detectmouseclick="t" type="solid" color2="black"/>
                <v:stroke color="black" weight="25560" joinstyle="round" endcap="flat"/>
                <v:textbox>
                  <w:txbxContent>
                    <w:p>
                      <w:pPr>
                        <w:pStyle w:val="FrameContents"/>
                        <w:ind w:firstLine="720"/>
                        <w:rPr>
                          <w:i/>
                          <w:i/>
                        </w:rPr>
                      </w:pPr>
                      <w:r>
                        <w:rPr>
                          <w:i/>
                          <w:color w:val="auto"/>
                        </w:rPr>
                        <w:t>Return On Asset</w:t>
                      </w:r>
                    </w:p>
                    <w:p>
                      <w:pPr>
                        <w:pStyle w:val="FrameContents"/>
                        <w:jc w:val="center"/>
                        <w:rPr>
                          <w:color w:val="auto"/>
                        </w:rPr>
                      </w:pPr>
                      <w:r>
                        <w:rPr>
                          <w:color w:val="auto"/>
                        </w:rPr>
                        <w:t>(X1)</w:t>
                      </w:r>
                    </w:p>
                    <w:p>
                      <w:pPr>
                        <w:pStyle w:val="FrameContents"/>
                        <w:rPr>
                          <w:color w:val="auto"/>
                        </w:rPr>
                      </w:pPr>
                      <w:r>
                        <w:rPr>
                          <w:color w:val="auto"/>
                        </w:rPr>
                      </w:r>
                    </w:p>
                    <w:p>
                      <w:pPr>
                        <w:pStyle w:val="FrameContents"/>
                        <w:spacing w:before="0" w:after="200"/>
                        <w:jc w:val="center"/>
                        <w:rPr>
                          <w:color w:val="auto"/>
                        </w:rPr>
                      </w:pPr>
                      <w:r>
                        <w:rPr>
                          <w:color w:val="auto"/>
                        </w:rPr>
                        <w:t>(X1)</w:t>
                      </w:r>
                    </w:p>
                  </w:txbxContent>
                </v:textbox>
              </v:rect>
            </w:pict>
          </mc:Fallback>
        </mc:AlternateContent>
      </w:r>
    </w:p>
    <w:p>
      <w:pPr>
        <w:pStyle w:val="ListParagraph"/>
        <w:spacing w:lineRule="auto" w:line="360"/>
        <w:jc w:val="both"/>
        <w:rPr>
          <w:rFonts w:cs="Times New Roman"/>
          <w:b/>
          <w:b/>
        </w:rPr>
      </w:pPr>
      <w:r>
        <w:rPr>
          <w:rFonts w:cs="Times New Roman"/>
          <w:b/>
        </w:rPr>
        <mc:AlternateContent>
          <mc:Choice Requires="wps">
            <w:drawing>
              <wp:anchor behindDoc="0" distT="0" distB="0" distL="114300" distR="114300" simplePos="0" locked="0" layoutInCell="1" allowOverlap="1" relativeHeight="6" wp14:anchorId="628A2DC6">
                <wp:simplePos x="0" y="0"/>
                <wp:positionH relativeFrom="column">
                  <wp:posOffset>1995805</wp:posOffset>
                </wp:positionH>
                <wp:positionV relativeFrom="paragraph">
                  <wp:posOffset>97155</wp:posOffset>
                </wp:positionV>
                <wp:extent cx="1378585" cy="914400"/>
                <wp:effectExtent l="0" t="0" r="69850" b="57785"/>
                <wp:wrapNone/>
                <wp:docPr id="4" name="Straight Arrow Connector 4"/>
                <a:graphic xmlns:a="http://schemas.openxmlformats.org/drawingml/2006/main">
                  <a:graphicData uri="http://schemas.microsoft.com/office/word/2010/wordprocessingShape">
                    <wps:wsp>
                      <wps:cNvSpPr/>
                      <wps:spPr>
                        <a:xfrm>
                          <a:off x="0" y="0"/>
                          <a:ext cx="1378080" cy="913680"/>
                        </a:xfrm>
                        <a:custGeom>
                          <a:avLst/>
                          <a:gdLst/>
                          <a:ahLst/>
                          <a:rect l="l" t="t" r="r" b="b"/>
                          <a:pathLst>
                            <a:path w="21600" h="21600">
                              <a:moveTo>
                                <a:pt x="0" y="0"/>
                              </a:moveTo>
                              <a:lnTo>
                                <a:pt x="21600" y="21600"/>
                              </a:lnTo>
                            </a:path>
                          </a:pathLst>
                        </a:custGeom>
                        <a:noFill/>
                        <a:ln w="9360">
                          <a:solidFill>
                            <a:srgbClr val="000000"/>
                          </a:solidFill>
                          <a:round/>
                          <a:tailEnd len="med" type="arrow" w="med"/>
                        </a:ln>
                      </wps:spPr>
                      <wps:style>
                        <a:lnRef idx="0"/>
                        <a:fillRef idx="0"/>
                        <a:effectRef idx="0"/>
                        <a:fontRef idx="minor"/>
                      </wps:style>
                      <wps:bodyPr/>
                    </wps:wsp>
                  </a:graphicData>
                </a:graphic>
              </wp:anchor>
            </w:drawing>
          </mc:Choice>
          <mc:Fallback>
            <w:pict>
              <v:shapetype id="shapetype_32" coordsize="21600,21600" o:spt="32" path="m,l21600,21600nfe">
                <v:stroke joinstyle="miter"/>
                <v:path gradientshapeok="t" o:connecttype="rect" textboxrect="0,0,21600,21600"/>
              </v:shapetype>
              <v:shape id="shape_0" ID="Straight Arrow Connector 4" stroked="t" style="position:absolute;margin-left:157.15pt;margin-top:7.65pt;width:108.45pt;height:71.9pt" wp14:anchorId="628A2DC6" type="shapetype_32">
                <w10:wrap type="none"/>
                <v:fill o:detectmouseclick="t" on="false"/>
                <v:stroke color="black" weight="9360" endarrow="open" endarrowwidth="medium" endarrowlength="medium" joinstyle="round" endcap="flat"/>
              </v:shape>
            </w:pict>
          </mc:Fallback>
        </mc:AlternateContent>
        <mc:AlternateContent>
          <mc:Choice Requires="wps">
            <w:drawing>
              <wp:anchor behindDoc="0" distT="0" distB="0" distL="114300" distR="114300" simplePos="0" locked="0" layoutInCell="1" allowOverlap="1" relativeHeight="12" wp14:anchorId="3EFCB2A2">
                <wp:simplePos x="0" y="0"/>
                <wp:positionH relativeFrom="column">
                  <wp:posOffset>2846705</wp:posOffset>
                </wp:positionH>
                <wp:positionV relativeFrom="paragraph">
                  <wp:posOffset>64135</wp:posOffset>
                </wp:positionV>
                <wp:extent cx="483870" cy="273685"/>
                <wp:effectExtent l="0" t="0" r="0" b="0"/>
                <wp:wrapNone/>
                <wp:docPr id="5" name="Text Box 307"/>
                <a:graphic xmlns:a="http://schemas.openxmlformats.org/drawingml/2006/main">
                  <a:graphicData uri="http://schemas.microsoft.com/office/word/2010/wordprocessingShape">
                    <wps:wsp>
                      <wps:cNvSpPr/>
                      <wps:spPr>
                        <a:xfrm>
                          <a:off x="0" y="0"/>
                          <a:ext cx="483120" cy="272880"/>
                        </a:xfrm>
                        <a:prstGeom prst="rect">
                          <a:avLst/>
                        </a:prstGeom>
                        <a:noFill/>
                        <a:ln w="9360">
                          <a:noFill/>
                        </a:ln>
                      </wps:spPr>
                      <wps:style>
                        <a:lnRef idx="0"/>
                        <a:fillRef idx="0"/>
                        <a:effectRef idx="0"/>
                        <a:fontRef idx="minor"/>
                      </wps:style>
                      <wps:txbx>
                        <w:txbxContent>
                          <w:p>
                            <w:pPr>
                              <w:pStyle w:val="FrameContents"/>
                              <w:spacing w:before="0" w:after="200"/>
                              <w:rPr>
                                <w:color w:val="auto"/>
                              </w:rPr>
                            </w:pPr>
                            <w:r>
                              <w:rPr>
                                <w:color w:val="auto"/>
                              </w:rPr>
                            </w:r>
                          </w:p>
                        </w:txbxContent>
                      </wps:txbx>
                      <wps:bodyPr>
                        <a:noAutofit/>
                      </wps:bodyPr>
                    </wps:wsp>
                  </a:graphicData>
                </a:graphic>
              </wp:anchor>
            </w:drawing>
          </mc:Choice>
          <mc:Fallback>
            <w:pict>
              <v:rect id="shape_0" ID="Text Box 307" stroked="f" style="position:absolute;margin-left:224.15pt;margin-top:5.05pt;width:38pt;height:21.45pt" wp14:anchorId="3EFCB2A2">
                <w10:wrap type="none"/>
                <v:fill o:detectmouseclick="t" on="false"/>
                <v:stroke color="#3465a4" weight="9360" joinstyle="miter" endcap="flat"/>
                <v:textbox>
                  <w:txbxContent>
                    <w:p>
                      <w:pPr>
                        <w:pStyle w:val="FrameContents"/>
                        <w:spacing w:before="0" w:after="200"/>
                        <w:rPr>
                          <w:color w:val="auto"/>
                        </w:rPr>
                      </w:pPr>
                      <w:r>
                        <w:rPr>
                          <w:color w:val="auto"/>
                        </w:rPr>
                      </w:r>
                    </w:p>
                  </w:txbxContent>
                </v:textbox>
              </v:rect>
            </w:pict>
          </mc:Fallback>
        </mc:AlternateContent>
      </w:r>
    </w:p>
    <w:p>
      <w:pPr>
        <w:pStyle w:val="ListParagraph"/>
        <w:tabs>
          <w:tab w:val="left" w:pos="5297" w:leader="none"/>
        </w:tabs>
        <w:spacing w:lineRule="auto" w:line="360"/>
        <w:jc w:val="both"/>
        <w:rPr>
          <w:rFonts w:cs="Times New Roman"/>
          <w:b/>
          <w:b/>
        </w:rPr>
      </w:pPr>
      <w:r>
        <mc:AlternateContent>
          <mc:Choice Requires="wps">
            <w:drawing>
              <wp:anchor behindDoc="0" distT="0" distB="0" distL="114300" distR="114300" simplePos="0" locked="0" layoutInCell="1" allowOverlap="1" relativeHeight="4" wp14:anchorId="4D3E2E13">
                <wp:simplePos x="0" y="0"/>
                <wp:positionH relativeFrom="column">
                  <wp:posOffset>95885</wp:posOffset>
                </wp:positionH>
                <wp:positionV relativeFrom="paragraph">
                  <wp:posOffset>172085</wp:posOffset>
                </wp:positionV>
                <wp:extent cx="1871345" cy="626745"/>
                <wp:effectExtent l="0" t="0" r="15240" b="21590"/>
                <wp:wrapNone/>
                <wp:docPr id="7" name="Rectangle 2"/>
                <a:graphic xmlns:a="http://schemas.openxmlformats.org/drawingml/2006/main">
                  <a:graphicData uri="http://schemas.microsoft.com/office/word/2010/wordprocessingShape">
                    <wps:wsp>
                      <wps:cNvSpPr/>
                      <wps:spPr>
                        <a:xfrm>
                          <a:off x="0" y="0"/>
                          <a:ext cx="1870560" cy="626040"/>
                        </a:xfrm>
                        <a:prstGeom prst="rect">
                          <a:avLst/>
                        </a:prstGeom>
                        <a:solidFill>
                          <a:srgbClr val="ffffff"/>
                        </a:solidFill>
                        <a:ln w="25560">
                          <a:solidFill>
                            <a:srgbClr val="000000"/>
                          </a:solidFill>
                          <a:round/>
                        </a:ln>
                      </wps:spPr>
                      <wps:style>
                        <a:lnRef idx="0"/>
                        <a:fillRef idx="0"/>
                        <a:effectRef idx="0"/>
                        <a:fontRef idx="minor"/>
                      </wps:style>
                      <wps:txbx>
                        <w:txbxContent>
                          <w:p>
                            <w:pPr>
                              <w:pStyle w:val="FrameContents"/>
                              <w:jc w:val="center"/>
                              <w:rPr>
                                <w:i/>
                                <w:i/>
                              </w:rPr>
                            </w:pPr>
                            <w:r>
                              <w:rPr>
                                <w:i/>
                                <w:color w:val="auto"/>
                              </w:rPr>
                              <w:t>Debt Equity Ratio</w:t>
                            </w:r>
                          </w:p>
                          <w:p>
                            <w:pPr>
                              <w:pStyle w:val="FrameContents"/>
                              <w:spacing w:before="0" w:after="200"/>
                              <w:jc w:val="center"/>
                              <w:rPr>
                                <w:color w:val="auto"/>
                              </w:rPr>
                            </w:pPr>
                            <w:r>
                              <w:rPr>
                                <w:color w:val="auto"/>
                              </w:rPr>
                              <w:t>(X2)</w:t>
                            </w:r>
                          </w:p>
                        </w:txbxContent>
                      </wps:txbx>
                      <wps:bodyPr anchor="ctr">
                        <a:prstTxWarp prst="textNoShape"/>
                        <a:noAutofit/>
                      </wps:bodyPr>
                    </wps:wsp>
                  </a:graphicData>
                </a:graphic>
              </wp:anchor>
            </w:drawing>
          </mc:Choice>
          <mc:Fallback>
            <w:pict>
              <v:rect id="shape_0" ID="Rectangle 2" fillcolor="white" stroked="t" style="position:absolute;margin-left:7.55pt;margin-top:13.55pt;width:147.25pt;height:49.25pt" wp14:anchorId="4D3E2E13">
                <w10:wrap type="square"/>
                <v:fill o:detectmouseclick="t" type="solid" color2="black"/>
                <v:stroke color="black" weight="25560" joinstyle="round" endcap="flat"/>
                <v:textbox>
                  <w:txbxContent>
                    <w:p>
                      <w:pPr>
                        <w:pStyle w:val="FrameContents"/>
                        <w:jc w:val="center"/>
                        <w:rPr>
                          <w:i/>
                          <w:i/>
                        </w:rPr>
                      </w:pPr>
                      <w:r>
                        <w:rPr>
                          <w:i/>
                          <w:color w:val="auto"/>
                        </w:rPr>
                        <w:t>Debt Equity Ratio</w:t>
                      </w:r>
                    </w:p>
                    <w:p>
                      <w:pPr>
                        <w:pStyle w:val="FrameContents"/>
                        <w:spacing w:before="0" w:after="200"/>
                        <w:jc w:val="center"/>
                        <w:rPr>
                          <w:color w:val="auto"/>
                        </w:rPr>
                      </w:pPr>
                      <w:r>
                        <w:rPr>
                          <w:color w:val="auto"/>
                        </w:rPr>
                        <w:t>(X2)</w:t>
                      </w:r>
                    </w:p>
                  </w:txbxContent>
                </v:textbox>
              </v:rect>
            </w:pict>
          </mc:Fallback>
        </mc:AlternateContent>
        <mc:AlternateContent>
          <mc:Choice Requires="wps">
            <w:drawing>
              <wp:anchor behindDoc="0" distT="0" distB="0" distL="114300" distR="114300" simplePos="0" locked="0" layoutInCell="1" allowOverlap="1" relativeHeight="13" wp14:anchorId="24B20B74">
                <wp:simplePos x="0" y="0"/>
                <wp:positionH relativeFrom="column">
                  <wp:posOffset>2851785</wp:posOffset>
                </wp:positionH>
                <wp:positionV relativeFrom="paragraph">
                  <wp:posOffset>122555</wp:posOffset>
                </wp:positionV>
                <wp:extent cx="483870" cy="273685"/>
                <wp:effectExtent l="0" t="0" r="0" b="0"/>
                <wp:wrapNone/>
                <wp:docPr id="9" name="Text Box 21"/>
                <a:graphic xmlns:a="http://schemas.openxmlformats.org/drawingml/2006/main">
                  <a:graphicData uri="http://schemas.microsoft.com/office/word/2010/wordprocessingShape">
                    <wps:wsp>
                      <wps:cNvSpPr/>
                      <wps:spPr>
                        <a:xfrm>
                          <a:off x="0" y="0"/>
                          <a:ext cx="483120" cy="272880"/>
                        </a:xfrm>
                        <a:prstGeom prst="rect">
                          <a:avLst/>
                        </a:prstGeom>
                        <a:noFill/>
                        <a:ln w="9360">
                          <a:noFill/>
                        </a:ln>
                      </wps:spPr>
                      <wps:style>
                        <a:lnRef idx="0"/>
                        <a:fillRef idx="0"/>
                        <a:effectRef idx="0"/>
                        <a:fontRef idx="minor"/>
                      </wps:style>
                      <wps:txbx>
                        <w:txbxContent>
                          <w:p>
                            <w:pPr>
                              <w:pStyle w:val="FrameContents"/>
                              <w:spacing w:before="0" w:after="200"/>
                              <w:rPr>
                                <w:color w:val="auto"/>
                              </w:rPr>
                            </w:pPr>
                            <w:r>
                              <w:rPr>
                                <w:color w:val="auto"/>
                              </w:rPr>
                            </w:r>
                          </w:p>
                        </w:txbxContent>
                      </wps:txbx>
                      <wps:bodyPr>
                        <a:noAutofit/>
                      </wps:bodyPr>
                    </wps:wsp>
                  </a:graphicData>
                </a:graphic>
              </wp:anchor>
            </w:drawing>
          </mc:Choice>
          <mc:Fallback>
            <w:pict>
              <v:rect id="shape_0" ID="Text Box 21" stroked="f" style="position:absolute;margin-left:224.55pt;margin-top:9.65pt;width:38pt;height:21.45pt" wp14:anchorId="24B20B74">
                <w10:wrap type="none"/>
                <v:fill o:detectmouseclick="t" on="false"/>
                <v:stroke color="#3465a4" weight="9360" joinstyle="miter" endcap="flat"/>
                <v:textbox>
                  <w:txbxContent>
                    <w:p>
                      <w:pPr>
                        <w:pStyle w:val="FrameContents"/>
                        <w:spacing w:before="0" w:after="200"/>
                        <w:rPr>
                          <w:color w:val="auto"/>
                        </w:rPr>
                      </w:pPr>
                      <w:r>
                        <w:rPr>
                          <w:color w:val="auto"/>
                        </w:rPr>
                      </w:r>
                    </w:p>
                  </w:txbxContent>
                </v:textbox>
              </v:rect>
            </w:pict>
          </mc:Fallback>
        </mc:AlternateContent>
      </w:r>
      <w:r>
        <w:rPr>
          <w:rFonts w:cs="Times New Roman"/>
          <w:b/>
        </w:rPr>
        <w:tab/>
      </w:r>
    </w:p>
    <w:p>
      <w:pPr>
        <w:pStyle w:val="ListParagraph"/>
        <w:spacing w:lineRule="auto" w:line="360"/>
        <w:jc w:val="both"/>
        <w:rPr>
          <w:rFonts w:cs="Times New Roman"/>
          <w:b/>
          <w:b/>
        </w:rPr>
      </w:pPr>
      <w:r>
        <w:rPr>
          <w:rFonts w:cs="Times New Roman"/>
          <w:b/>
        </w:rPr>
        <mc:AlternateContent>
          <mc:Choice Requires="wps">
            <w:drawing>
              <wp:anchor behindDoc="0" distT="0" distB="0" distL="114300" distR="114300" simplePos="0" locked="0" layoutInCell="1" allowOverlap="1" relativeHeight="7" wp14:anchorId="7A1D17A9">
                <wp:simplePos x="0" y="0"/>
                <wp:positionH relativeFrom="column">
                  <wp:posOffset>1995805</wp:posOffset>
                </wp:positionH>
                <wp:positionV relativeFrom="paragraph">
                  <wp:posOffset>250825</wp:posOffset>
                </wp:positionV>
                <wp:extent cx="1378585" cy="234950"/>
                <wp:effectExtent l="0" t="0" r="69850" b="89535"/>
                <wp:wrapNone/>
                <wp:docPr id="11" name="Straight Arrow Connector 5"/>
                <a:graphic xmlns:a="http://schemas.openxmlformats.org/drawingml/2006/main">
                  <a:graphicData uri="http://schemas.microsoft.com/office/word/2010/wordprocessingShape">
                    <wps:wsp>
                      <wps:cNvSpPr/>
                      <wps:spPr>
                        <a:xfrm>
                          <a:off x="0" y="0"/>
                          <a:ext cx="1378080" cy="234360"/>
                        </a:xfrm>
                        <a:custGeom>
                          <a:avLst/>
                          <a:gdLst/>
                          <a:ahLst/>
                          <a:rect l="l" t="t" r="r" b="b"/>
                          <a:pathLst>
                            <a:path w="21600" h="21600">
                              <a:moveTo>
                                <a:pt x="0" y="0"/>
                              </a:moveTo>
                              <a:lnTo>
                                <a:pt x="21600" y="21600"/>
                              </a:lnTo>
                            </a:path>
                          </a:pathLst>
                        </a:custGeom>
                        <a:noFill/>
                        <a:ln w="9360">
                          <a:solidFill>
                            <a:srgbClr val="000000"/>
                          </a:solidFill>
                          <a:round/>
                          <a:tailEnd len="med" type="arrow" w="med"/>
                        </a:ln>
                      </wps:spPr>
                      <wps:style>
                        <a:lnRef idx="0"/>
                        <a:fillRef idx="0"/>
                        <a:effectRef idx="0"/>
                        <a:fontRef idx="minor"/>
                      </wps:style>
                      <wps:bodyPr/>
                    </wps:wsp>
                  </a:graphicData>
                </a:graphic>
              </wp:anchor>
            </w:drawing>
          </mc:Choice>
          <mc:Fallback>
            <w:pict>
              <v:shape id="shape_0" ID="Straight Arrow Connector 5" stroked="t" style="position:absolute;margin-left:157.15pt;margin-top:19.75pt;width:108.45pt;height:18.4pt" wp14:anchorId="7A1D17A9" type="shapetype_32">
                <w10:wrap type="none"/>
                <v:fill o:detectmouseclick="t" on="false"/>
                <v:stroke color="black" weight="9360" endarrow="open" endarrowwidth="medium" endarrowlength="medium" joinstyle="round" endcap="flat"/>
              </v:shape>
            </w:pict>
          </mc:Fallback>
        </mc:AlternateContent>
        <mc:AlternateContent>
          <mc:Choice Requires="wps">
            <w:drawing>
              <wp:anchor behindDoc="0" distT="0" distB="0" distL="114300" distR="114300" simplePos="0" locked="0" layoutInCell="1" allowOverlap="1" relativeHeight="14" wp14:anchorId="2BC0FA81">
                <wp:simplePos x="0" y="0"/>
                <wp:positionH relativeFrom="column">
                  <wp:posOffset>2846070</wp:posOffset>
                </wp:positionH>
                <wp:positionV relativeFrom="paragraph">
                  <wp:posOffset>210820</wp:posOffset>
                </wp:positionV>
                <wp:extent cx="483870" cy="273685"/>
                <wp:effectExtent l="0" t="0" r="0" b="0"/>
                <wp:wrapNone/>
                <wp:docPr id="12" name="Text Box 22"/>
                <a:graphic xmlns:a="http://schemas.openxmlformats.org/drawingml/2006/main">
                  <a:graphicData uri="http://schemas.microsoft.com/office/word/2010/wordprocessingShape">
                    <wps:wsp>
                      <wps:cNvSpPr/>
                      <wps:spPr>
                        <a:xfrm>
                          <a:off x="0" y="0"/>
                          <a:ext cx="483120" cy="272880"/>
                        </a:xfrm>
                        <a:prstGeom prst="rect">
                          <a:avLst/>
                        </a:prstGeom>
                        <a:noFill/>
                        <a:ln w="9360">
                          <a:noFill/>
                        </a:ln>
                      </wps:spPr>
                      <wps:style>
                        <a:lnRef idx="0"/>
                        <a:fillRef idx="0"/>
                        <a:effectRef idx="0"/>
                        <a:fontRef idx="minor"/>
                      </wps:style>
                      <wps:txbx>
                        <w:txbxContent>
                          <w:p>
                            <w:pPr>
                              <w:pStyle w:val="FrameContents"/>
                              <w:spacing w:before="0" w:after="200"/>
                              <w:rPr>
                                <w:color w:val="auto"/>
                              </w:rPr>
                            </w:pPr>
                            <w:r>
                              <w:rPr>
                                <w:color w:val="auto"/>
                              </w:rPr>
                            </w:r>
                          </w:p>
                        </w:txbxContent>
                      </wps:txbx>
                      <wps:bodyPr>
                        <a:noAutofit/>
                      </wps:bodyPr>
                    </wps:wsp>
                  </a:graphicData>
                </a:graphic>
              </wp:anchor>
            </w:drawing>
          </mc:Choice>
          <mc:Fallback>
            <w:pict>
              <v:rect id="shape_0" ID="Text Box 22" stroked="f" style="position:absolute;margin-left:224.1pt;margin-top:16.6pt;width:38pt;height:21.45pt" wp14:anchorId="2BC0FA81">
                <w10:wrap type="none"/>
                <v:fill o:detectmouseclick="t" on="false"/>
                <v:stroke color="#3465a4" weight="9360" joinstyle="miter" endcap="flat"/>
                <v:textbox>
                  <w:txbxContent>
                    <w:p>
                      <w:pPr>
                        <w:pStyle w:val="FrameContents"/>
                        <w:spacing w:before="0" w:after="200"/>
                        <w:rPr>
                          <w:color w:val="auto"/>
                        </w:rPr>
                      </w:pPr>
                      <w:r>
                        <w:rPr>
                          <w:color w:val="auto"/>
                        </w:rPr>
                      </w:r>
                    </w:p>
                  </w:txbxContent>
                </v:textbox>
              </v:rect>
            </w:pict>
          </mc:Fallback>
        </mc:AlternateContent>
        <mc:AlternateContent>
          <mc:Choice Requires="wps">
            <w:drawing>
              <wp:anchor behindDoc="0" distT="0" distB="0" distL="114300" distR="114300" simplePos="0" locked="0" layoutInCell="1" allowOverlap="1" relativeHeight="17" wp14:anchorId="68B142AA">
                <wp:simplePos x="0" y="0"/>
                <wp:positionH relativeFrom="column">
                  <wp:posOffset>3373120</wp:posOffset>
                </wp:positionH>
                <wp:positionV relativeFrom="paragraph">
                  <wp:posOffset>135890</wp:posOffset>
                </wp:positionV>
                <wp:extent cx="1760220" cy="561340"/>
                <wp:effectExtent l="0" t="0" r="12065" b="10795"/>
                <wp:wrapNone/>
                <wp:docPr id="14" name="Rectangle 8"/>
                <a:graphic xmlns:a="http://schemas.openxmlformats.org/drawingml/2006/main">
                  <a:graphicData uri="http://schemas.microsoft.com/office/word/2010/wordprocessingShape">
                    <wps:wsp>
                      <wps:cNvSpPr/>
                      <wps:spPr>
                        <a:xfrm>
                          <a:off x="0" y="0"/>
                          <a:ext cx="1759680" cy="560880"/>
                        </a:xfrm>
                        <a:prstGeom prst="rect">
                          <a:avLst/>
                        </a:prstGeom>
                        <a:solidFill>
                          <a:srgbClr val="ffffff"/>
                        </a:solidFill>
                        <a:ln w="25560">
                          <a:solidFill>
                            <a:srgbClr val="000000"/>
                          </a:solidFill>
                          <a:round/>
                        </a:ln>
                      </wps:spPr>
                      <wps:style>
                        <a:lnRef idx="0"/>
                        <a:fillRef idx="0"/>
                        <a:effectRef idx="0"/>
                        <a:fontRef idx="minor"/>
                      </wps:style>
                      <wps:txbx>
                        <w:txbxContent>
                          <w:p>
                            <w:pPr>
                              <w:pStyle w:val="FrameContents"/>
                              <w:jc w:val="center"/>
                              <w:rPr>
                                <w:color w:val="auto"/>
                              </w:rPr>
                            </w:pPr>
                            <w:r>
                              <w:rPr>
                                <w:i/>
                                <w:color w:val="auto"/>
                              </w:rPr>
                              <w:t>Return</w:t>
                            </w:r>
                            <w:r>
                              <w:rPr>
                                <w:color w:val="auto"/>
                              </w:rPr>
                              <w:t xml:space="preserve"> Saham</w:t>
                            </w:r>
                          </w:p>
                          <w:p>
                            <w:pPr>
                              <w:pStyle w:val="FrameContents"/>
                              <w:spacing w:before="0" w:after="200"/>
                              <w:jc w:val="center"/>
                              <w:rPr>
                                <w:color w:val="auto"/>
                              </w:rPr>
                            </w:pPr>
                            <w:r>
                              <w:rPr>
                                <w:color w:val="auto"/>
                              </w:rPr>
                              <w:t>(Y)</w:t>
                            </w:r>
                          </w:p>
                        </w:txbxContent>
                      </wps:txbx>
                      <wps:bodyPr anchor="ctr">
                        <a:prstTxWarp prst="textNoShape"/>
                        <a:noAutofit/>
                      </wps:bodyPr>
                    </wps:wsp>
                  </a:graphicData>
                </a:graphic>
              </wp:anchor>
            </w:drawing>
          </mc:Choice>
          <mc:Fallback>
            <w:pict>
              <v:rect id="shape_0" ID="Rectangle 8" fillcolor="white" stroked="t" style="position:absolute;margin-left:265.6pt;margin-top:10.7pt;width:138.5pt;height:44.1pt" wp14:anchorId="68B142AA">
                <w10:wrap type="square"/>
                <v:fill o:detectmouseclick="t" type="solid" color2="black"/>
                <v:stroke color="black" weight="25560" joinstyle="round" endcap="flat"/>
                <v:textbox>
                  <w:txbxContent>
                    <w:p>
                      <w:pPr>
                        <w:pStyle w:val="FrameContents"/>
                        <w:jc w:val="center"/>
                        <w:rPr>
                          <w:color w:val="auto"/>
                        </w:rPr>
                      </w:pPr>
                      <w:r>
                        <w:rPr>
                          <w:i/>
                          <w:color w:val="auto"/>
                        </w:rPr>
                        <w:t>Return</w:t>
                      </w:r>
                      <w:r>
                        <w:rPr>
                          <w:color w:val="auto"/>
                        </w:rPr>
                        <w:t xml:space="preserve"> Saham</w:t>
                      </w:r>
                    </w:p>
                    <w:p>
                      <w:pPr>
                        <w:pStyle w:val="FrameContents"/>
                        <w:spacing w:before="0" w:after="200"/>
                        <w:jc w:val="center"/>
                        <w:rPr>
                          <w:color w:val="auto"/>
                        </w:rPr>
                      </w:pPr>
                      <w:r>
                        <w:rPr>
                          <w:color w:val="auto"/>
                        </w:rPr>
                        <w:t>(Y)</w:t>
                      </w:r>
                    </w:p>
                  </w:txbxContent>
                </v:textbox>
              </v:rect>
            </w:pict>
          </mc:Fallback>
        </mc:AlternateContent>
      </w:r>
    </w:p>
    <w:p>
      <w:pPr>
        <w:pStyle w:val="ListParagraph"/>
        <w:spacing w:lineRule="auto" w:line="360"/>
        <w:jc w:val="both"/>
        <w:rPr>
          <w:rFonts w:cs="Times New Roman"/>
          <w:b/>
          <w:b/>
        </w:rPr>
      </w:pPr>
      <w:r>
        <w:rPr>
          <w:rFonts w:cs="Times New Roman"/>
          <w:b/>
        </w:rPr>
        <mc:AlternateContent>
          <mc:Choice Requires="wps">
            <w:drawing>
              <wp:anchor behindDoc="0" distT="0" distB="0" distL="114300" distR="114300" simplePos="0" locked="0" layoutInCell="1" allowOverlap="1" relativeHeight="8" wp14:anchorId="096757C4">
                <wp:simplePos x="0" y="0"/>
                <wp:positionH relativeFrom="column">
                  <wp:posOffset>1995170</wp:posOffset>
                </wp:positionH>
                <wp:positionV relativeFrom="paragraph">
                  <wp:posOffset>220980</wp:posOffset>
                </wp:positionV>
                <wp:extent cx="1378585" cy="343535"/>
                <wp:effectExtent l="0" t="57150" r="12700" b="19050"/>
                <wp:wrapNone/>
                <wp:docPr id="16" name="Straight Arrow Connector 6"/>
                <a:graphic xmlns:a="http://schemas.openxmlformats.org/drawingml/2006/main">
                  <a:graphicData uri="http://schemas.microsoft.com/office/word/2010/wordprocessingShape">
                    <wps:wsp>
                      <wps:cNvSpPr/>
                      <wps:spPr>
                        <a:xfrm flipV="1">
                          <a:off x="0" y="0"/>
                          <a:ext cx="1378080" cy="343080"/>
                        </a:xfrm>
                        <a:custGeom>
                          <a:avLst/>
                          <a:gdLst/>
                          <a:ahLst/>
                          <a:rect l="l" t="t" r="r" b="b"/>
                          <a:pathLst>
                            <a:path w="21600" h="21600">
                              <a:moveTo>
                                <a:pt x="0" y="0"/>
                              </a:moveTo>
                              <a:lnTo>
                                <a:pt x="21600" y="21600"/>
                              </a:lnTo>
                            </a:path>
                          </a:pathLst>
                        </a:custGeom>
                        <a:noFill/>
                        <a:ln w="9360">
                          <a:solidFill>
                            <a:srgbClr val="000000"/>
                          </a:solidFill>
                          <a:round/>
                          <a:tailEnd len="med" type="arrow" w="med"/>
                        </a:ln>
                      </wps:spPr>
                      <wps:style>
                        <a:lnRef idx="0"/>
                        <a:fillRef idx="0"/>
                        <a:effectRef idx="0"/>
                        <a:fontRef idx="minor"/>
                      </wps:style>
                      <wps:bodyPr/>
                    </wps:wsp>
                  </a:graphicData>
                </a:graphic>
              </wp:anchor>
            </w:drawing>
          </mc:Choice>
          <mc:Fallback>
            <w:pict>
              <v:shape id="shape_0" ID="Straight Arrow Connector 6" stroked="t" style="position:absolute;margin-left:157.1pt;margin-top:17.4pt;width:108.45pt;height:26.95pt;flip:y" wp14:anchorId="096757C4" type="shapetype_32">
                <w10:wrap type="none"/>
                <v:fill o:detectmouseclick="t" on="false"/>
                <v:stroke color="black" weight="9360" endarrow="open" endarrowwidth="medium" endarrowlength="medium" joinstyle="round" endcap="flat"/>
              </v:shape>
            </w:pict>
          </mc:Fallback>
        </mc:AlternateContent>
        <mc:AlternateContent>
          <mc:Choice Requires="wps">
            <w:drawing>
              <wp:anchor behindDoc="0" distT="0" distB="0" distL="114300" distR="114300" simplePos="0" locked="0" layoutInCell="1" allowOverlap="1" relativeHeight="9" wp14:anchorId="4CB67230">
                <wp:simplePos x="0" y="0"/>
                <wp:positionH relativeFrom="column">
                  <wp:posOffset>3866515</wp:posOffset>
                </wp:positionH>
                <wp:positionV relativeFrom="paragraph">
                  <wp:posOffset>133350</wp:posOffset>
                </wp:positionV>
                <wp:extent cx="126365" cy="200025"/>
                <wp:effectExtent l="0" t="0" r="26670" b="10160"/>
                <wp:wrapNone/>
                <wp:docPr id="17" name="Oval 7"/>
                <a:graphic xmlns:a="http://schemas.openxmlformats.org/drawingml/2006/main">
                  <a:graphicData uri="http://schemas.microsoft.com/office/word/2010/wordprocessingShape">
                    <wps:wsp>
                      <wps:cNvSpPr/>
                      <wps:spPr>
                        <a:xfrm>
                          <a:off x="0" y="0"/>
                          <a:ext cx="125640" cy="199440"/>
                        </a:xfrm>
                        <a:prstGeom prst="ellipse">
                          <a:avLst/>
                        </a:prstGeom>
                        <a:solidFill>
                          <a:srgbClr val="000000"/>
                        </a:solidFill>
                        <a:ln w="25560">
                          <a:solidFill>
                            <a:srgbClr val="000000"/>
                          </a:solidFill>
                          <a:round/>
                        </a:ln>
                      </wps:spPr>
                      <wps:style>
                        <a:lnRef idx="0"/>
                        <a:fillRef idx="0"/>
                        <a:effectRef idx="0"/>
                        <a:fontRef idx="minor"/>
                      </wps:style>
                      <wps:bodyPr/>
                    </wps:wsp>
                  </a:graphicData>
                </a:graphic>
              </wp:anchor>
            </w:drawing>
          </mc:Choice>
          <mc:Fallback>
            <w:pict>
              <v:oval id="shape_0" ID="Oval 7" fillcolor="black" stroked="t" style="position:absolute;margin-left:304.45pt;margin-top:10.5pt;width:9.85pt;height:15.65pt" wp14:anchorId="4CB67230">
                <w10:wrap type="none"/>
                <v:fill o:detectmouseclick="t" type="solid" color2="white"/>
                <v:stroke color="black" weight="25560" joinstyle="round" endcap="flat"/>
              </v:oval>
            </w:pict>
          </mc:Fallback>
        </mc:AlternateContent>
        <mc:AlternateContent>
          <mc:Choice Requires="wps">
            <w:drawing>
              <wp:anchor behindDoc="0" distT="0" distB="0" distL="114300" distR="114300" simplePos="0" locked="0" layoutInCell="1" allowOverlap="1" relativeHeight="11" wp14:anchorId="12B20E5F">
                <wp:simplePos x="0" y="0"/>
                <wp:positionH relativeFrom="column">
                  <wp:posOffset>1995170</wp:posOffset>
                </wp:positionH>
                <wp:positionV relativeFrom="paragraph">
                  <wp:posOffset>220980</wp:posOffset>
                </wp:positionV>
                <wp:extent cx="1378585" cy="1029335"/>
                <wp:effectExtent l="0" t="38100" r="50800" b="19050"/>
                <wp:wrapNone/>
                <wp:docPr id="18" name="Straight Arrow Connector 13"/>
                <a:graphic xmlns:a="http://schemas.openxmlformats.org/drawingml/2006/main">
                  <a:graphicData uri="http://schemas.microsoft.com/office/word/2010/wordprocessingShape">
                    <wps:wsp>
                      <wps:cNvSpPr/>
                      <wps:spPr>
                        <a:xfrm flipV="1">
                          <a:off x="0" y="0"/>
                          <a:ext cx="1378080" cy="1028880"/>
                        </a:xfrm>
                        <a:custGeom>
                          <a:avLst/>
                          <a:gdLst/>
                          <a:ahLst/>
                          <a:rect l="l" t="t" r="r" b="b"/>
                          <a:pathLst>
                            <a:path w="21600" h="21600">
                              <a:moveTo>
                                <a:pt x="0" y="0"/>
                              </a:moveTo>
                              <a:lnTo>
                                <a:pt x="21600" y="21600"/>
                              </a:lnTo>
                            </a:path>
                          </a:pathLst>
                        </a:custGeom>
                        <a:noFill/>
                        <a:ln w="9360">
                          <a:solidFill>
                            <a:srgbClr val="000000"/>
                          </a:solidFill>
                          <a:round/>
                          <a:tailEnd len="med" type="arrow" w="med"/>
                        </a:ln>
                      </wps:spPr>
                      <wps:style>
                        <a:lnRef idx="0"/>
                        <a:fillRef idx="0"/>
                        <a:effectRef idx="0"/>
                        <a:fontRef idx="minor"/>
                      </wps:style>
                      <wps:bodyPr/>
                    </wps:wsp>
                  </a:graphicData>
                </a:graphic>
              </wp:anchor>
            </w:drawing>
          </mc:Choice>
          <mc:Fallback>
            <w:pict>
              <v:shape id="shape_0" ID="Straight Arrow Connector 13" stroked="t" style="position:absolute;margin-left:157.1pt;margin-top:17.4pt;width:108.45pt;height:80.95pt;flip:y" wp14:anchorId="12B20E5F" type="shapetype_32">
                <w10:wrap type="none"/>
                <v:fill o:detectmouseclick="t" on="false"/>
                <v:stroke color="black" weight="9360" endarrow="open" endarrowwidth="medium" endarrowlength="medium" joinstyle="round" endcap="flat"/>
              </v:shape>
            </w:pict>
          </mc:Fallback>
        </mc:AlternateContent>
      </w:r>
    </w:p>
    <w:p>
      <w:pPr>
        <w:pStyle w:val="ListParagraph"/>
        <w:spacing w:lineRule="auto" w:line="360"/>
        <w:jc w:val="both"/>
        <w:rPr>
          <w:rFonts w:cs="Times New Roman"/>
          <w:b/>
          <w:b/>
        </w:rPr>
      </w:pPr>
      <w:r>
        <w:rPr>
          <w:rFonts w:cs="Times New Roman"/>
          <w:b/>
        </w:rPr>
        <mc:AlternateContent>
          <mc:Choice Requires="wps">
            <w:drawing>
              <wp:anchor behindDoc="0" distT="0" distB="0" distL="114300" distR="114300" simplePos="0" locked="0" layoutInCell="1" allowOverlap="1" relativeHeight="5" wp14:anchorId="6593602A">
                <wp:simplePos x="0" y="0"/>
                <wp:positionH relativeFrom="column">
                  <wp:posOffset>103505</wp:posOffset>
                </wp:positionH>
                <wp:positionV relativeFrom="paragraph">
                  <wp:posOffset>61595</wp:posOffset>
                </wp:positionV>
                <wp:extent cx="1871345" cy="579755"/>
                <wp:effectExtent l="0" t="0" r="15240" b="11430"/>
                <wp:wrapNone/>
                <wp:docPr id="19" name="Rectangle 3"/>
                <a:graphic xmlns:a="http://schemas.openxmlformats.org/drawingml/2006/main">
                  <a:graphicData uri="http://schemas.microsoft.com/office/word/2010/wordprocessingShape">
                    <wps:wsp>
                      <wps:cNvSpPr/>
                      <wps:spPr>
                        <a:xfrm>
                          <a:off x="0" y="0"/>
                          <a:ext cx="1870560" cy="579240"/>
                        </a:xfrm>
                        <a:prstGeom prst="rect">
                          <a:avLst/>
                        </a:prstGeom>
                        <a:solidFill>
                          <a:srgbClr val="ffffff"/>
                        </a:solidFill>
                        <a:ln w="25560">
                          <a:solidFill>
                            <a:srgbClr val="000000"/>
                          </a:solidFill>
                          <a:round/>
                        </a:ln>
                      </wps:spPr>
                      <wps:style>
                        <a:lnRef idx="0"/>
                        <a:fillRef idx="0"/>
                        <a:effectRef idx="0"/>
                        <a:fontRef idx="minor"/>
                      </wps:style>
                      <wps:txbx>
                        <w:txbxContent>
                          <w:p>
                            <w:pPr>
                              <w:pStyle w:val="FrameContents"/>
                              <w:jc w:val="center"/>
                              <w:rPr>
                                <w:i/>
                                <w:i/>
                              </w:rPr>
                            </w:pPr>
                            <w:r>
                              <w:rPr>
                                <w:i/>
                                <w:color w:val="auto"/>
                              </w:rPr>
                              <w:t>Net Profit Margin</w:t>
                            </w:r>
                          </w:p>
                          <w:p>
                            <w:pPr>
                              <w:pStyle w:val="FrameContents"/>
                              <w:spacing w:before="0" w:after="200"/>
                              <w:jc w:val="center"/>
                              <w:rPr>
                                <w:color w:val="auto"/>
                              </w:rPr>
                            </w:pPr>
                            <w:r>
                              <w:rPr>
                                <w:color w:val="auto"/>
                              </w:rPr>
                              <w:t>(X3)</w:t>
                            </w:r>
                          </w:p>
                        </w:txbxContent>
                      </wps:txbx>
                      <wps:bodyPr anchor="ctr">
                        <a:prstTxWarp prst="textNoShape"/>
                        <a:noAutofit/>
                      </wps:bodyPr>
                    </wps:wsp>
                  </a:graphicData>
                </a:graphic>
              </wp:anchor>
            </w:drawing>
          </mc:Choice>
          <mc:Fallback>
            <w:pict>
              <v:rect id="shape_0" ID="Rectangle 3" fillcolor="white" stroked="t" style="position:absolute;margin-left:8.15pt;margin-top:4.85pt;width:147.25pt;height:45.55pt" wp14:anchorId="6593602A">
                <w10:wrap type="square"/>
                <v:fill o:detectmouseclick="t" type="solid" color2="black"/>
                <v:stroke color="black" weight="25560" joinstyle="round" endcap="flat"/>
                <v:textbox>
                  <w:txbxContent>
                    <w:p>
                      <w:pPr>
                        <w:pStyle w:val="FrameContents"/>
                        <w:jc w:val="center"/>
                        <w:rPr>
                          <w:i/>
                          <w:i/>
                        </w:rPr>
                      </w:pPr>
                      <w:r>
                        <w:rPr>
                          <w:i/>
                          <w:color w:val="auto"/>
                        </w:rPr>
                        <w:t>Net Profit Margin</w:t>
                      </w:r>
                    </w:p>
                    <w:p>
                      <w:pPr>
                        <w:pStyle w:val="FrameContents"/>
                        <w:spacing w:before="0" w:after="200"/>
                        <w:jc w:val="center"/>
                        <w:rPr>
                          <w:color w:val="auto"/>
                        </w:rPr>
                      </w:pPr>
                      <w:r>
                        <w:rPr>
                          <w:color w:val="auto"/>
                        </w:rPr>
                        <w:t>(X3)</w:t>
                      </w:r>
                    </w:p>
                  </w:txbxContent>
                </v:textbox>
              </v:rect>
            </w:pict>
          </mc:Fallback>
        </mc:AlternateContent>
        <mc:AlternateContent>
          <mc:Choice Requires="wps">
            <w:drawing>
              <wp:anchor behindDoc="0" distT="0" distB="0" distL="114300" distR="114300" simplePos="0" locked="0" layoutInCell="1" allowOverlap="1" relativeHeight="15" wp14:anchorId="775B7EC7">
                <wp:simplePos x="0" y="0"/>
                <wp:positionH relativeFrom="column">
                  <wp:posOffset>2808605</wp:posOffset>
                </wp:positionH>
                <wp:positionV relativeFrom="paragraph">
                  <wp:posOffset>120015</wp:posOffset>
                </wp:positionV>
                <wp:extent cx="483870" cy="273685"/>
                <wp:effectExtent l="0" t="0" r="0" b="0"/>
                <wp:wrapNone/>
                <wp:docPr id="21" name="Text Box 23"/>
                <a:graphic xmlns:a="http://schemas.openxmlformats.org/drawingml/2006/main">
                  <a:graphicData uri="http://schemas.microsoft.com/office/word/2010/wordprocessingShape">
                    <wps:wsp>
                      <wps:cNvSpPr/>
                      <wps:spPr>
                        <a:xfrm>
                          <a:off x="0" y="0"/>
                          <a:ext cx="483120" cy="272880"/>
                        </a:xfrm>
                        <a:prstGeom prst="rect">
                          <a:avLst/>
                        </a:prstGeom>
                        <a:noFill/>
                        <a:ln w="9360">
                          <a:noFill/>
                        </a:ln>
                      </wps:spPr>
                      <wps:style>
                        <a:lnRef idx="0"/>
                        <a:fillRef idx="0"/>
                        <a:effectRef idx="0"/>
                        <a:fontRef idx="minor"/>
                      </wps:style>
                      <wps:txbx>
                        <w:txbxContent>
                          <w:p>
                            <w:pPr>
                              <w:pStyle w:val="FrameContents"/>
                              <w:spacing w:before="0" w:after="200"/>
                              <w:rPr>
                                <w:color w:val="auto"/>
                              </w:rPr>
                            </w:pPr>
                            <w:r>
                              <w:rPr>
                                <w:color w:val="auto"/>
                              </w:rPr>
                            </w:r>
                          </w:p>
                        </w:txbxContent>
                      </wps:txbx>
                      <wps:bodyPr>
                        <a:noAutofit/>
                      </wps:bodyPr>
                    </wps:wsp>
                  </a:graphicData>
                </a:graphic>
              </wp:anchor>
            </w:drawing>
          </mc:Choice>
          <mc:Fallback>
            <w:pict>
              <v:rect id="shape_0" ID="Text Box 23" stroked="f" style="position:absolute;margin-left:221.15pt;margin-top:9.45pt;width:38pt;height:21.45pt" wp14:anchorId="775B7EC7">
                <w10:wrap type="none"/>
                <v:fill o:detectmouseclick="t" on="false"/>
                <v:stroke color="#3465a4" weight="9360" joinstyle="miter" endcap="flat"/>
                <v:textbox>
                  <w:txbxContent>
                    <w:p>
                      <w:pPr>
                        <w:pStyle w:val="FrameContents"/>
                        <w:spacing w:before="0" w:after="200"/>
                        <w:rPr>
                          <w:color w:val="auto"/>
                        </w:rPr>
                      </w:pPr>
                      <w:r>
                        <w:rPr>
                          <w:color w:val="auto"/>
                        </w:rPr>
                      </w:r>
                    </w:p>
                  </w:txbxContent>
                </v:textbox>
              </v:rect>
            </w:pict>
          </mc:Fallback>
        </mc:AlternateContent>
      </w:r>
    </w:p>
    <w:p>
      <w:pPr>
        <w:pStyle w:val="ListParagraph"/>
        <w:spacing w:lineRule="auto" w:line="360"/>
        <w:jc w:val="both"/>
        <w:rPr>
          <w:rFonts w:cs="Times New Roman"/>
          <w:b/>
          <w:b/>
        </w:rPr>
      </w:pPr>
      <w:r>
        <w:rPr>
          <w:rFonts w:cs="Times New Roman"/>
          <w:b/>
        </w:rPr>
        <mc:AlternateContent>
          <mc:Choice Requires="wps">
            <w:drawing>
              <wp:anchor behindDoc="0" distT="0" distB="0" distL="114300" distR="114300" simplePos="0" locked="0" layoutInCell="1" allowOverlap="1" relativeHeight="16" wp14:anchorId="16F011C1">
                <wp:simplePos x="0" y="0"/>
                <wp:positionH relativeFrom="column">
                  <wp:posOffset>2802890</wp:posOffset>
                </wp:positionH>
                <wp:positionV relativeFrom="paragraph">
                  <wp:posOffset>240665</wp:posOffset>
                </wp:positionV>
                <wp:extent cx="483870" cy="273685"/>
                <wp:effectExtent l="0" t="0" r="0" b="0"/>
                <wp:wrapNone/>
                <wp:docPr id="23" name="Text Box 24"/>
                <a:graphic xmlns:a="http://schemas.openxmlformats.org/drawingml/2006/main">
                  <a:graphicData uri="http://schemas.microsoft.com/office/word/2010/wordprocessingShape">
                    <wps:wsp>
                      <wps:cNvSpPr/>
                      <wps:spPr>
                        <a:xfrm>
                          <a:off x="0" y="0"/>
                          <a:ext cx="483120" cy="272880"/>
                        </a:xfrm>
                        <a:prstGeom prst="rect">
                          <a:avLst/>
                        </a:prstGeom>
                        <a:noFill/>
                        <a:ln w="9360">
                          <a:noFill/>
                        </a:ln>
                      </wps:spPr>
                      <wps:style>
                        <a:lnRef idx="0"/>
                        <a:fillRef idx="0"/>
                        <a:effectRef idx="0"/>
                        <a:fontRef idx="minor"/>
                      </wps:style>
                      <wps:txbx>
                        <w:txbxContent>
                          <w:p>
                            <w:pPr>
                              <w:pStyle w:val="FrameContents"/>
                              <w:spacing w:before="0" w:after="200"/>
                              <w:rPr>
                                <w:color w:val="auto"/>
                              </w:rPr>
                            </w:pPr>
                            <w:r>
                              <w:rPr>
                                <w:color w:val="auto"/>
                              </w:rPr>
                            </w:r>
                          </w:p>
                        </w:txbxContent>
                      </wps:txbx>
                      <wps:bodyPr>
                        <a:noAutofit/>
                      </wps:bodyPr>
                    </wps:wsp>
                  </a:graphicData>
                </a:graphic>
              </wp:anchor>
            </w:drawing>
          </mc:Choice>
          <mc:Fallback>
            <w:pict>
              <v:rect id="shape_0" ID="Text Box 24" stroked="f" style="position:absolute;margin-left:220.7pt;margin-top:18.95pt;width:38pt;height:21.45pt" wp14:anchorId="16F011C1">
                <w10:wrap type="none"/>
                <v:fill o:detectmouseclick="t" on="false"/>
                <v:stroke color="#3465a4" weight="9360" joinstyle="miter" endcap="flat"/>
                <v:textbox>
                  <w:txbxContent>
                    <w:p>
                      <w:pPr>
                        <w:pStyle w:val="FrameContents"/>
                        <w:spacing w:before="0" w:after="200"/>
                        <w:rPr>
                          <w:color w:val="auto"/>
                        </w:rPr>
                      </w:pPr>
                      <w:r>
                        <w:rPr>
                          <w:color w:val="auto"/>
                        </w:rPr>
                      </w:r>
                    </w:p>
                  </w:txbxContent>
                </v:textbox>
              </v:rect>
            </w:pict>
          </mc:Fallback>
        </mc:AlternateContent>
      </w:r>
    </w:p>
    <w:p>
      <w:pPr>
        <w:pStyle w:val="ListParagraph"/>
        <w:spacing w:lineRule="auto" w:line="360"/>
        <w:rPr>
          <w:rFonts w:cs="Times New Roman"/>
          <w:b/>
          <w:b/>
        </w:rPr>
      </w:pPr>
      <w:r>
        <w:rPr>
          <w:rFonts w:cs="Times New Roman"/>
          <w:b/>
        </w:rPr>
        <mc:AlternateContent>
          <mc:Choice Requires="wps">
            <w:drawing>
              <wp:anchor behindDoc="0" distT="0" distB="0" distL="114300" distR="114300" simplePos="0" locked="0" layoutInCell="1" allowOverlap="1" relativeHeight="10" wp14:anchorId="17E60C00">
                <wp:simplePos x="0" y="0"/>
                <wp:positionH relativeFrom="column">
                  <wp:posOffset>95885</wp:posOffset>
                </wp:positionH>
                <wp:positionV relativeFrom="paragraph">
                  <wp:posOffset>174625</wp:posOffset>
                </wp:positionV>
                <wp:extent cx="1871345" cy="625475"/>
                <wp:effectExtent l="0" t="0" r="15240" b="22860"/>
                <wp:wrapNone/>
                <wp:docPr id="25" name="Rectangle 12"/>
                <a:graphic xmlns:a="http://schemas.openxmlformats.org/drawingml/2006/main">
                  <a:graphicData uri="http://schemas.microsoft.com/office/word/2010/wordprocessingShape">
                    <wps:wsp>
                      <wps:cNvSpPr/>
                      <wps:spPr>
                        <a:xfrm>
                          <a:off x="0" y="0"/>
                          <a:ext cx="1870560" cy="624960"/>
                        </a:xfrm>
                        <a:prstGeom prst="rect">
                          <a:avLst/>
                        </a:prstGeom>
                        <a:solidFill>
                          <a:srgbClr val="ffffff"/>
                        </a:solidFill>
                        <a:ln w="25560">
                          <a:solidFill>
                            <a:srgbClr val="000000"/>
                          </a:solidFill>
                          <a:round/>
                        </a:ln>
                      </wps:spPr>
                      <wps:style>
                        <a:lnRef idx="0"/>
                        <a:fillRef idx="0"/>
                        <a:effectRef idx="0"/>
                        <a:fontRef idx="minor"/>
                      </wps:style>
                      <wps:txbx>
                        <w:txbxContent>
                          <w:p>
                            <w:pPr>
                              <w:pStyle w:val="FrameContents"/>
                              <w:jc w:val="center"/>
                              <w:rPr>
                                <w:color w:val="auto"/>
                              </w:rPr>
                            </w:pPr>
                            <w:r>
                              <w:rPr>
                                <w:color w:val="auto"/>
                              </w:rPr>
                              <w:t>Indeks Eckel</w:t>
                            </w:r>
                          </w:p>
                          <w:p>
                            <w:pPr>
                              <w:pStyle w:val="FrameContents"/>
                              <w:spacing w:before="0" w:after="200"/>
                              <w:jc w:val="center"/>
                              <w:rPr>
                                <w:color w:val="auto"/>
                              </w:rPr>
                            </w:pPr>
                            <w:r>
                              <w:rPr>
                                <w:color w:val="auto"/>
                              </w:rPr>
                              <w:t>(X4)</w:t>
                            </w:r>
                          </w:p>
                        </w:txbxContent>
                      </wps:txbx>
                      <wps:bodyPr anchor="ctr">
                        <a:prstTxWarp prst="textNoShape"/>
                        <a:noAutofit/>
                      </wps:bodyPr>
                    </wps:wsp>
                  </a:graphicData>
                </a:graphic>
              </wp:anchor>
            </w:drawing>
          </mc:Choice>
          <mc:Fallback>
            <w:pict>
              <v:rect id="shape_0" ID="Rectangle 12" fillcolor="white" stroked="t" style="position:absolute;margin-left:7.55pt;margin-top:13.75pt;width:147.25pt;height:49.15pt" wp14:anchorId="17E60C00">
                <w10:wrap type="square"/>
                <v:fill o:detectmouseclick="t" type="solid" color2="black"/>
                <v:stroke color="black" weight="25560" joinstyle="round" endcap="flat"/>
                <v:textbox>
                  <w:txbxContent>
                    <w:p>
                      <w:pPr>
                        <w:pStyle w:val="FrameContents"/>
                        <w:jc w:val="center"/>
                        <w:rPr>
                          <w:color w:val="auto"/>
                        </w:rPr>
                      </w:pPr>
                      <w:r>
                        <w:rPr>
                          <w:color w:val="auto"/>
                        </w:rPr>
                        <w:t>Indeks Eckel</w:t>
                      </w:r>
                    </w:p>
                    <w:p>
                      <w:pPr>
                        <w:pStyle w:val="FrameContents"/>
                        <w:spacing w:before="0" w:after="200"/>
                        <w:jc w:val="center"/>
                        <w:rPr>
                          <w:color w:val="auto"/>
                        </w:rPr>
                      </w:pPr>
                      <w:r>
                        <w:rPr>
                          <w:color w:val="auto"/>
                        </w:rPr>
                        <w:t>(X4)</w:t>
                      </w:r>
                    </w:p>
                  </w:txbxContent>
                </v:textbox>
              </v:rect>
            </w:pict>
          </mc:Fallback>
        </mc:AlternateContent>
      </w:r>
    </w:p>
    <w:p>
      <w:pPr>
        <w:pStyle w:val="BodyA"/>
        <w:spacing w:lineRule="auto" w:line="360"/>
        <w:ind w:firstLine="720"/>
        <w:jc w:val="both"/>
        <w:rPr>
          <w:rFonts w:ascii="Times New Roman" w:hAnsi="Times New Roman" w:cs="Times New Roman"/>
          <w:sz w:val="24"/>
          <w:szCs w:val="24"/>
          <w:lang w:val="pt-PT"/>
        </w:rPr>
      </w:pPr>
      <w:r>
        <w:rPr>
          <w:rFonts w:cs="Times New Roman" w:ascii="Times New Roman" w:hAnsi="Times New Roman"/>
          <w:sz w:val="24"/>
          <w:szCs w:val="24"/>
          <w:lang w:val="pt-PT"/>
        </w:rPr>
      </w:r>
    </w:p>
    <w:p>
      <w:pPr>
        <w:pStyle w:val="Normal"/>
        <w:spacing w:lineRule="auto" w:line="360"/>
        <w:jc w:val="both"/>
        <w:rPr>
          <w:rFonts w:ascii="Times New Roman" w:hAnsi="Times New Roman" w:cs="Times New Roman"/>
          <w:color w:val="222222"/>
          <w:sz w:val="24"/>
          <w:szCs w:val="24"/>
          <w:shd w:fill="FFFFFF" w:val="clear"/>
        </w:rPr>
      </w:pPr>
      <w:r>
        <w:rPr>
          <w:rFonts w:cs="Times New Roman" w:ascii="Times New Roman" w:hAnsi="Times New Roman"/>
          <w:color w:val="222222"/>
          <w:sz w:val="24"/>
          <w:szCs w:val="24"/>
          <w:shd w:fill="FFFFFF" w:val="clear"/>
        </w:rPr>
      </w:r>
    </w:p>
    <w:p>
      <w:pPr>
        <w:pStyle w:val="Normal"/>
        <w:spacing w:lineRule="auto" w:line="360"/>
        <w:jc w:val="both"/>
        <w:rPr>
          <w:rFonts w:ascii="Times New Roman" w:hAnsi="Times New Roman" w:cs="Times New Roman"/>
          <w:color w:val="222222"/>
          <w:sz w:val="24"/>
          <w:szCs w:val="24"/>
          <w:highlight w:val="white"/>
        </w:rPr>
      </w:pPr>
      <w:r>
        <w:rPr>
          <w:rFonts w:cs="Times New Roman" w:ascii="Times New Roman" w:hAnsi="Times New Roman"/>
          <w:color w:val="222222"/>
          <w:sz w:val="24"/>
          <w:szCs w:val="24"/>
          <w:shd w:fill="FFFFFF" w:val="clear"/>
        </w:rPr>
        <w:t>Dan bentuk persamaan matematikanya adalah sebagai berikut:</w:t>
      </w:r>
    </w:p>
    <w:p>
      <w:pPr>
        <w:pStyle w:val="Normal"/>
        <w:tabs>
          <w:tab w:val="left" w:pos="3261" w:leader="none"/>
          <w:tab w:val="left" w:pos="3686" w:leader="none"/>
        </w:tabs>
        <w:spacing w:before="0" w:after="120"/>
        <w:jc w:val="both"/>
        <w:rPr>
          <w:rFonts w:ascii="Times New Roman" w:hAnsi="Times New Roman" w:cs="Times New Roman"/>
          <w:sz w:val="24"/>
          <w:szCs w:val="24"/>
        </w:rPr>
      </w:pPr>
      <w:r>
        <w:rPr>
          <w:rFonts w:cs="Times New Roman" w:ascii="Times New Roman" w:hAnsi="Times New Roman"/>
          <w:sz w:val="24"/>
          <w:szCs w:val="24"/>
        </w:rPr>
        <w:t>R =  α + β</w:t>
      </w:r>
      <w:r>
        <w:rPr>
          <w:rFonts w:cs="Times New Roman" w:ascii="Times New Roman" w:hAnsi="Times New Roman"/>
          <w:sz w:val="24"/>
          <w:szCs w:val="24"/>
          <w:vertAlign w:val="subscript"/>
        </w:rPr>
        <w:t>1</w:t>
      </w:r>
      <w:r>
        <w:rPr>
          <w:rFonts w:cs="Times New Roman" w:ascii="Times New Roman" w:hAnsi="Times New Roman"/>
          <w:sz w:val="24"/>
          <w:szCs w:val="24"/>
        </w:rPr>
        <w:t xml:space="preserve"> ROA + β</w:t>
      </w:r>
      <w:r>
        <w:rPr>
          <w:rFonts w:cs="Times New Roman" w:ascii="Times New Roman" w:hAnsi="Times New Roman"/>
          <w:sz w:val="24"/>
          <w:szCs w:val="24"/>
          <w:vertAlign w:val="subscript"/>
        </w:rPr>
        <w:t>2</w:t>
      </w:r>
      <w:r>
        <w:rPr>
          <w:rFonts w:cs="Times New Roman" w:ascii="Times New Roman" w:hAnsi="Times New Roman"/>
          <w:sz w:val="24"/>
          <w:szCs w:val="24"/>
        </w:rPr>
        <w:t xml:space="preserve"> DER + β</w:t>
      </w:r>
      <w:r>
        <w:rPr>
          <w:rFonts w:cs="Times New Roman" w:ascii="Times New Roman" w:hAnsi="Times New Roman"/>
          <w:sz w:val="24"/>
          <w:szCs w:val="24"/>
          <w:vertAlign w:val="subscript"/>
        </w:rPr>
        <w:t>3</w:t>
      </w:r>
      <w:r>
        <w:rPr>
          <w:rFonts w:cs="Times New Roman" w:ascii="Times New Roman" w:hAnsi="Times New Roman"/>
          <w:sz w:val="24"/>
          <w:szCs w:val="24"/>
        </w:rPr>
        <w:t xml:space="preserve"> NPM + β</w:t>
      </w:r>
      <w:r>
        <w:rPr>
          <w:rFonts w:cs="Times New Roman" w:ascii="Times New Roman" w:hAnsi="Times New Roman"/>
          <w:sz w:val="24"/>
          <w:szCs w:val="24"/>
          <w:vertAlign w:val="subscript"/>
        </w:rPr>
        <w:t>4</w:t>
      </w:r>
      <w:r>
        <w:rPr>
          <w:rFonts w:cs="Times New Roman" w:ascii="Times New Roman" w:hAnsi="Times New Roman"/>
          <w:sz w:val="24"/>
          <w:szCs w:val="24"/>
        </w:rPr>
        <w:t xml:space="preserve"> IE + e</w:t>
      </w:r>
    </w:p>
    <w:p>
      <w:pPr>
        <w:pStyle w:val="Normal"/>
        <w:tabs>
          <w:tab w:val="left" w:pos="3261" w:leader="none"/>
          <w:tab w:val="left" w:pos="3686" w:leader="none"/>
        </w:tabs>
        <w:spacing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b/>
          <w:b/>
          <w:color w:val="222222"/>
          <w:sz w:val="28"/>
          <w:szCs w:val="28"/>
          <w:highlight w:val="white"/>
        </w:rPr>
      </w:pPr>
      <w:r>
        <w:rPr>
          <w:rFonts w:cs="Times New Roman" w:ascii="Times New Roman" w:hAnsi="Times New Roman"/>
          <w:b/>
          <w:color w:val="222222"/>
          <w:sz w:val="28"/>
          <w:szCs w:val="28"/>
          <w:shd w:fill="FFFFFF" w:val="clear"/>
        </w:rPr>
        <w:t>PENGUJIAN HIPOTESIS</w:t>
      </w:r>
    </w:p>
    <w:p>
      <w:pPr>
        <w:pStyle w:val="Normal"/>
        <w:spacing w:lineRule="auto" w:line="360"/>
        <w:jc w:val="both"/>
        <w:rPr>
          <w:rFonts w:ascii="Times New Roman" w:hAnsi="Times New Roman" w:cs="Times New Roman"/>
          <w:b/>
          <w:b/>
          <w:color w:val="222222"/>
          <w:sz w:val="24"/>
          <w:szCs w:val="24"/>
          <w:highlight w:val="white"/>
        </w:rPr>
      </w:pPr>
      <w:r>
        <w:rPr>
          <w:rFonts w:cs="Times New Roman" w:ascii="Times New Roman" w:hAnsi="Times New Roman"/>
          <w:b/>
          <w:color w:val="222222"/>
          <w:sz w:val="24"/>
          <w:szCs w:val="24"/>
          <w:shd w:fill="FFFFFF" w:val="clear"/>
        </w:rPr>
        <w:t>ANALISIS STATISTIK DESKRIPTIF</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lang w:val="id-ID"/>
        </w:rPr>
        <w:t xml:space="preserve">Analisis statistik deskriptif dilakukan untuk mendeskripsikan data-data yang digunakan dalam penelitian ini seperti variabel </w:t>
      </w:r>
      <w:r>
        <w:rPr>
          <w:rFonts w:cs="Times New Roman" w:ascii="Times New Roman" w:hAnsi="Times New Roman"/>
          <w:i/>
          <w:sz w:val="24"/>
          <w:szCs w:val="24"/>
        </w:rPr>
        <w:t xml:space="preserve">Return On Asset, Debt Equiy Ratio, Net Profit Margin </w:t>
      </w:r>
      <w:r>
        <w:rPr>
          <w:rFonts w:cs="Times New Roman" w:ascii="Times New Roman" w:hAnsi="Times New Roman"/>
          <w:sz w:val="24"/>
          <w:szCs w:val="24"/>
        </w:rPr>
        <w:t xml:space="preserve">dan </w:t>
      </w:r>
      <w:r>
        <w:rPr>
          <w:rFonts w:cs="Times New Roman" w:ascii="Times New Roman" w:hAnsi="Times New Roman"/>
          <w:i/>
          <w:sz w:val="24"/>
          <w:szCs w:val="24"/>
        </w:rPr>
        <w:t>Income Smoothing</w:t>
      </w:r>
      <w:r>
        <w:rPr>
          <w:rFonts w:cs="Times New Roman" w:ascii="Times New Roman" w:hAnsi="Times New Roman"/>
          <w:sz w:val="24"/>
          <w:szCs w:val="24"/>
          <w:lang w:val="id-ID"/>
        </w:rPr>
        <w:t>. Analisis ini hanya berupa akumulasi data dasar dalam bentuk deskripsi semata, tidak untuk menguji hipotesis atau melakukan penarikan kesimpulan pada populasi besar. Deskripsi variabel ini disajikan untuk mengetahui nilai rata-rata (</w:t>
      </w:r>
      <w:r>
        <w:rPr>
          <w:rFonts w:cs="Times New Roman" w:ascii="Times New Roman" w:hAnsi="Times New Roman"/>
          <w:i/>
          <w:sz w:val="24"/>
          <w:szCs w:val="24"/>
          <w:lang w:val="id-ID"/>
        </w:rPr>
        <w:t>mean</w:t>
      </w:r>
      <w:r>
        <w:rPr>
          <w:rFonts w:cs="Times New Roman" w:ascii="Times New Roman" w:hAnsi="Times New Roman"/>
          <w:sz w:val="24"/>
          <w:szCs w:val="24"/>
          <w:lang w:val="id-ID"/>
        </w:rPr>
        <w:t>), nilai maksimum, nilai minimum dan standar deviasi dari setiap variabel yang diteliti.</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UJI ASUMSI KLASIK</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lang w:val="id-ID"/>
        </w:rPr>
        <w:t>Untuk bisa melakukan analisis dengan model regresi linier berganda, dibutuhkan pengujian asumsi klasik terlebih dahulu. Tujuan uji asumsi klasik adalah untuk memberikan kepastian bahwa persamaan regresi yang didapatkan memiliki ketepatan dalam estimasi, konsisten serta tidak bias. Berikut adalah macam-macam uji asumsi klasik:</w:t>
      </w:r>
      <w:r>
        <w:rPr>
          <w:rFonts w:cs="Times New Roman" w:ascii="Times New Roman" w:hAnsi="Times New Roman"/>
          <w:sz w:val="24"/>
          <w:szCs w:val="24"/>
        </w:rPr>
        <w:t xml:space="preserve"> uji normalitas, uji multikolinearitas, uji heterokedastisitas dan uji autokorelasi.</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UJI HIPOTESIS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Uji hipotesis dilakukan dengan uji F dan uji T. Uji F dilakukan untuk mengetahui signifikansi pengaruh antara variabel independen dan variabel dependen secara simultan atau bersama-sama. Uji F dilakukan dengan membandingkan F-hitung dengan F-tabel, dimana F-tabel dapat dilihat pada tabel F dengan taraf signifikan sebesar 0,05. Uji statistik t dilakukan untuk menjelaskan bagaimana suatu variabel independen berhubungan dengan variabel dependen secara parsial.</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ANALISIS STATISTIK DESKRIPTIF</w:t>
      </w:r>
    </w:p>
    <w:p>
      <w:pPr>
        <w:pStyle w:val="NoSpacing1"/>
        <w:tabs>
          <w:tab w:val="left" w:pos="567" w:leader="none"/>
        </w:tabs>
        <w:spacing w:lineRule="auto" w:line="360" w:before="0" w:after="200"/>
        <w:contextualSpacing/>
        <w:jc w:val="center"/>
        <w:rPr>
          <w:rFonts w:ascii="Times New Roman" w:hAnsi="Times New Roman"/>
          <w:sz w:val="24"/>
          <w:szCs w:val="24"/>
        </w:rPr>
      </w:pPr>
      <w:r>
        <w:rPr>
          <w:rFonts w:ascii="Times New Roman" w:hAnsi="Times New Roman"/>
          <w:b/>
          <w:sz w:val="24"/>
          <w:szCs w:val="24"/>
        </w:rPr>
        <w:t>Tabel 1</w:t>
      </w:r>
    </w:p>
    <w:p>
      <w:pPr>
        <w:pStyle w:val="NoSpacing1"/>
        <w:tabs>
          <w:tab w:val="left" w:pos="567" w:leader="none"/>
        </w:tabs>
        <w:spacing w:lineRule="auto" w:line="360" w:before="0" w:after="200"/>
        <w:contextualSpacing/>
        <w:jc w:val="center"/>
        <w:rPr>
          <w:rFonts w:ascii="Times New Roman" w:hAnsi="Times New Roman"/>
          <w:sz w:val="24"/>
          <w:szCs w:val="24"/>
        </w:rPr>
      </w:pPr>
      <w:r>
        <w:rPr>
          <w:rFonts w:ascii="Times New Roman" w:hAnsi="Times New Roman"/>
          <w:b/>
          <w:sz w:val="24"/>
          <w:szCs w:val="24"/>
        </w:rPr>
        <w:t>Tabel Hasil Uji Statistik Deskriptif</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tbl>
      <w:tblPr>
        <w:tblW w:w="6240"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1102"/>
        <w:gridCol w:w="934"/>
        <w:gridCol w:w="934"/>
        <w:gridCol w:w="934"/>
        <w:gridCol w:w="1402"/>
        <w:gridCol w:w="933"/>
      </w:tblGrid>
      <w:tr>
        <w:trPr>
          <w:trHeight w:val="288" w:hRule="atLeast"/>
        </w:trPr>
        <w:tc>
          <w:tcPr>
            <w:tcW w:w="1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t>ROA</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t>NPM</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t>DER</w:t>
            </w:r>
          </w:p>
        </w:tc>
        <w:tc>
          <w:tcPr>
            <w:tcW w:w="14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t>Indeks_Eckel</w:t>
            </w:r>
          </w:p>
        </w:tc>
        <w:tc>
          <w:tcPr>
            <w:tcW w:w="9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t>Return</w:t>
            </w:r>
          </w:p>
        </w:tc>
      </w:tr>
      <w:tr>
        <w:trPr>
          <w:trHeight w:val="288" w:hRule="atLeast"/>
        </w:trPr>
        <w:tc>
          <w:tcPr>
            <w:tcW w:w="1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t>N Valid</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205</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205</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205</w:t>
            </w:r>
          </w:p>
        </w:tc>
        <w:tc>
          <w:tcPr>
            <w:tcW w:w="14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205</w:t>
            </w:r>
          </w:p>
        </w:tc>
        <w:tc>
          <w:tcPr>
            <w:tcW w:w="9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205</w:t>
            </w:r>
          </w:p>
        </w:tc>
      </w:tr>
      <w:tr>
        <w:trPr>
          <w:trHeight w:val="288" w:hRule="atLeast"/>
        </w:trPr>
        <w:tc>
          <w:tcPr>
            <w:tcW w:w="1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t>Mean</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0.0392</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0.0357</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1.3885</w:t>
            </w:r>
          </w:p>
        </w:tc>
        <w:tc>
          <w:tcPr>
            <w:tcW w:w="14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0.2796</w:t>
            </w:r>
          </w:p>
        </w:tc>
        <w:tc>
          <w:tcPr>
            <w:tcW w:w="9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0.0379</w:t>
            </w:r>
          </w:p>
        </w:tc>
      </w:tr>
      <w:tr>
        <w:trPr>
          <w:trHeight w:val="288" w:hRule="atLeast"/>
        </w:trPr>
        <w:tc>
          <w:tcPr>
            <w:tcW w:w="1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t>Median</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0.0255</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0.025</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1.1165</w:t>
            </w:r>
          </w:p>
        </w:tc>
        <w:tc>
          <w:tcPr>
            <w:tcW w:w="14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0.0445</w:t>
            </w:r>
          </w:p>
        </w:tc>
        <w:tc>
          <w:tcPr>
            <w:tcW w:w="9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-0.071</w:t>
            </w:r>
          </w:p>
        </w:tc>
      </w:tr>
      <w:tr>
        <w:trPr>
          <w:trHeight w:val="288" w:hRule="atLeast"/>
        </w:trPr>
        <w:tc>
          <w:tcPr>
            <w:tcW w:w="1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t>Minimum</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-0.14</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-0.3</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-6.93</w:t>
            </w:r>
          </w:p>
        </w:tc>
        <w:tc>
          <w:tcPr>
            <w:tcW w:w="14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-4.94</w:t>
            </w:r>
          </w:p>
        </w:tc>
        <w:tc>
          <w:tcPr>
            <w:tcW w:w="9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-1</w:t>
            </w:r>
          </w:p>
        </w:tc>
      </w:tr>
      <w:tr>
        <w:trPr>
          <w:trHeight w:val="288" w:hRule="atLeast"/>
        </w:trPr>
        <w:tc>
          <w:tcPr>
            <w:tcW w:w="11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rPr>
                <w:rFonts w:ascii="Times New Roman" w:hAnsi="Times New Roman" w:eastAsia="Times New Roman" w:cs="Times New Roman"/>
                <w:color w:val="000000"/>
              </w:rPr>
            </w:pPr>
            <w:r>
              <w:rPr>
                <w:rFonts w:eastAsia="Times New Roman" w:cs="Times New Roman" w:ascii="Times New Roman" w:hAnsi="Times New Roman"/>
                <w:color w:val="000000"/>
              </w:rPr>
              <w:t>Maximum</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0.27</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0.68</w:t>
            </w:r>
          </w:p>
        </w:tc>
        <w:tc>
          <w:tcPr>
            <w:tcW w:w="9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9.04</w:t>
            </w:r>
          </w:p>
        </w:tc>
        <w:tc>
          <w:tcPr>
            <w:tcW w:w="14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19.46</w:t>
            </w:r>
          </w:p>
        </w:tc>
        <w:tc>
          <w:tcPr>
            <w:tcW w:w="9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spacing w:lineRule="auto" w:line="240" w:before="0" w:after="0"/>
              <w:jc w:val="right"/>
              <w:rPr>
                <w:rFonts w:ascii="Times New Roman" w:hAnsi="Times New Roman" w:eastAsia="Times New Roman" w:cs="Times New Roman"/>
                <w:color w:val="000000"/>
              </w:rPr>
            </w:pPr>
            <w:r>
              <w:rPr>
                <w:rFonts w:eastAsia="Times New Roman" w:cs="Times New Roman" w:ascii="Times New Roman" w:hAnsi="Times New Roman"/>
                <w:color w:val="000000"/>
              </w:rPr>
              <w:t>3.21</w:t>
            </w:r>
          </w:p>
        </w:tc>
      </w:tr>
    </w:tbl>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left="3600" w:hanging="0"/>
        <w:rPr>
          <w:rFonts w:ascii="Times New Roman" w:hAnsi="Times New Roman" w:cs="Times New Roman"/>
          <w:b/>
          <w:b/>
        </w:rPr>
      </w:pPr>
      <w:r>
        <w:rPr>
          <w:rFonts w:cs="Times New Roman" w:ascii="Times New Roman" w:hAnsi="Times New Roman"/>
          <w:b/>
        </w:rPr>
        <w:t>Tabel 4.</w:t>
      </w:r>
      <w:r>
        <w:rPr>
          <w:rFonts w:cs="Times New Roman" w:ascii="Times New Roman" w:hAnsi="Times New Roman"/>
          <w:b/>
          <w:lang w:val="id-ID"/>
        </w:rPr>
        <w:t>3</w:t>
      </w:r>
    </w:p>
    <w:p>
      <w:pPr>
        <w:pStyle w:val="Normal"/>
        <w:spacing w:lineRule="auto" w:line="240" w:before="0" w:after="0"/>
        <w:ind w:left="3600" w:hanging="0"/>
        <w:rPr>
          <w:rFonts w:ascii="Times New Roman" w:hAnsi="Times New Roman" w:eastAsia="Calibri" w:cs="Times New Roman"/>
        </w:rPr>
      </w:pPr>
      <w:r>
        <w:rPr>
          <w:rFonts w:cs="Times New Roman" w:ascii="Times New Roman" w:hAnsi="Times New Roman"/>
          <w:b/>
        </w:rPr>
        <w:t>Hasil Uji Normalitas</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r>
        <mc:AlternateContent>
          <mc:Choice Requires="wps">
            <w:drawing>
              <wp:anchor behindDoc="0" distT="0" distB="0" distL="114300" distR="114300" simplePos="0" locked="0" layoutInCell="1" allowOverlap="1" relativeHeight="28">
                <wp:simplePos x="0" y="0"/>
                <wp:positionH relativeFrom="margin">
                  <wp:align>center</wp:align>
                </wp:positionH>
                <wp:positionV relativeFrom="paragraph">
                  <wp:posOffset>154940</wp:posOffset>
                </wp:positionV>
                <wp:extent cx="4347845" cy="2909570"/>
                <wp:effectExtent l="0" t="0" r="0" b="0"/>
                <wp:wrapSquare wrapText="bothSides"/>
                <wp:docPr id="27" name="Frame11"/>
                <a:graphic xmlns:a="http://schemas.openxmlformats.org/drawingml/2006/main">
                  <a:graphicData uri="http://schemas.microsoft.com/office/word/2010/wordprocessingShape">
                    <wps:wsp>
                      <wps:cNvSpPr txBox="1"/>
                      <wps:spPr>
                        <a:xfrm>
                          <a:off x="0" y="0"/>
                          <a:ext cx="4347845" cy="2909570"/>
                        </a:xfrm>
                        <a:prstGeom prst="rect"/>
                      </wps:spPr>
                      <wps:txbx>
                        <w:txbxContent>
                          <w:tbl>
                            <w:tblPr>
                              <w:tblpPr w:bottomFromText="0" w:horzAnchor="margin" w:leftFromText="180" w:rightFromText="180" w:tblpX="0" w:tblpXSpec="center" w:tblpY="244" w:topFromText="0" w:vertAnchor="text"/>
                              <w:tblW w:w="6847" w:type="dxa"/>
                              <w:jc w:val="center"/>
                              <w:tblInd w:w="0" w:type="dxa"/>
                              <w:tblBorders/>
                              <w:tblCellMar>
                                <w:top w:w="30" w:type="dxa"/>
                                <w:left w:w="30" w:type="dxa"/>
                                <w:bottom w:w="30" w:type="dxa"/>
                                <w:right w:w="30" w:type="dxa"/>
                              </w:tblCellMar>
                              <w:tblLook w:firstRow="0" w:noVBand="0" w:lastRow="0" w:firstColumn="0" w:lastColumn="0" w:noHBand="0" w:val="0000"/>
                            </w:tblPr>
                            <w:tblGrid>
                              <w:gridCol w:w="2729"/>
                              <w:gridCol w:w="2469"/>
                              <w:gridCol w:w="1649"/>
                            </w:tblGrid>
                            <w:tr>
                              <w:trPr>
                                <w:tblHeader w:val="true"/>
                                <w:trHeight w:val="227" w:hRule="atLeast"/>
                                <w:cantSplit w:val="true"/>
                              </w:trPr>
                              <w:tc>
                                <w:tcPr>
                                  <w:tcW w:w="6847" w:type="dxa"/>
                                  <w:gridSpan w:val="3"/>
                                  <w:tcBorders/>
                                  <w:shd w:color="auto" w:fill="FFFFFF" w:val="clear"/>
                                  <w:vAlign w:val="center"/>
                                </w:tcPr>
                                <w:p>
                                  <w:pPr>
                                    <w:pStyle w:val="Normal"/>
                                    <w:spacing w:lineRule="auto" w:line="240" w:before="0" w:after="0"/>
                                    <w:rPr/>
                                  </w:pPr>
                                  <w:r>
                                    <w:rPr>
                                      <w:rFonts w:cs="Times New Roman" w:ascii="Times New Roman" w:hAnsi="Times New Roman"/>
                                      <w:b/>
                                      <w:bCs/>
                                      <w:color w:val="000000"/>
                                    </w:rPr>
                                    <w:t>One-Sample Kolmogorov-Smirnov Test</w:t>
                                  </w:r>
                                </w:p>
                              </w:tc>
                            </w:tr>
                            <w:tr>
                              <w:trPr>
                                <w:tblHeader w:val="true"/>
                                <w:trHeight w:val="455" w:hRule="atLeast"/>
                                <w:cantSplit w:val="true"/>
                              </w:trPr>
                              <w:tc>
                                <w:tcPr>
                                  <w:tcW w:w="2729" w:type="dxa"/>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rFonts w:ascii="Times New Roman" w:hAnsi="Times New Roman" w:cs="Times New Roman"/>
                                    </w:rPr>
                                  </w:pPr>
                                  <w:r>
                                    <w:rPr>
                                      <w:rFonts w:cs="Times New Roman" w:ascii="Times New Roman" w:hAnsi="Times New Roman"/>
                                    </w:rPr>
                                  </w:r>
                                </w:p>
                              </w:tc>
                              <w:tc>
                                <w:tcPr>
                                  <w:tcW w:w="2469" w:type="dxa"/>
                                  <w:tcBorders>
                                    <w:top w:val="single" w:sz="16" w:space="0" w:color="000001"/>
                                    <w:bottom w:val="single" w:sz="16" w:space="0" w:color="000001"/>
                                    <w:right w:val="single" w:sz="16" w:space="0" w:color="000001"/>
                                    <w:insideH w:val="single" w:sz="16" w:space="0" w:color="000001"/>
                                    <w:insideV w:val="single" w:sz="16" w:space="0" w:color="000001"/>
                                  </w:tcBorders>
                                  <w:shd w:color="auto" w:fill="FFFFFF" w:val="clear"/>
                                </w:tcPr>
                                <w:p>
                                  <w:pPr>
                                    <w:pStyle w:val="Normal"/>
                                    <w:spacing w:lineRule="auto" w:line="240" w:before="0" w:after="0"/>
                                    <w:rPr>
                                      <w:rFonts w:ascii="Times New Roman" w:hAnsi="Times New Roman" w:cs="Times New Roman"/>
                                    </w:rPr>
                                  </w:pPr>
                                  <w:r>
                                    <w:rPr>
                                      <w:rFonts w:cs="Times New Roman" w:ascii="Times New Roman" w:hAnsi="Times New Roman"/>
                                    </w:rPr>
                                  </w:r>
                                </w:p>
                              </w:tc>
                              <w:tc>
                                <w:tcPr>
                                  <w:tcW w:w="1649" w:type="dxa"/>
                                  <w:tcBorders>
                                    <w:top w:val="single" w:sz="16" w:space="0" w:color="000001"/>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vAlign w:val="bottom"/>
                                </w:tcPr>
                                <w:p>
                                  <w:pPr>
                                    <w:pStyle w:val="Normal"/>
                                    <w:spacing w:lineRule="auto" w:line="240" w:before="0" w:after="0"/>
                                    <w:rPr/>
                                  </w:pPr>
                                  <w:r>
                                    <w:rPr>
                                      <w:rFonts w:cs="Times New Roman" w:ascii="Times New Roman" w:hAnsi="Times New Roman"/>
                                      <w:color w:val="000000"/>
                                    </w:rPr>
                                    <w:t>Unstandardized Residual</w:t>
                                  </w:r>
                                </w:p>
                              </w:tc>
                            </w:tr>
                            <w:tr>
                              <w:trPr>
                                <w:tblHeader w:val="true"/>
                                <w:trHeight w:val="227" w:hRule="atLeast"/>
                                <w:cantSplit w:val="true"/>
                              </w:trPr>
                              <w:tc>
                                <w:tcPr>
                                  <w:tcW w:w="5198" w:type="dxa"/>
                                  <w:gridSpan w:val="2"/>
                                  <w:tcBorders>
                                    <w:top w:val="single" w:sz="16" w:space="0" w:color="000001"/>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N</w:t>
                                  </w:r>
                                </w:p>
                              </w:tc>
                              <w:tc>
                                <w:tcPr>
                                  <w:tcW w:w="1649" w:type="dxa"/>
                                  <w:tcBorders>
                                    <w:top w:val="single" w:sz="16" w:space="0" w:color="000001"/>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205</w:t>
                                  </w:r>
                                </w:p>
                              </w:tc>
                            </w:tr>
                            <w:tr>
                              <w:trPr>
                                <w:tblHeader w:val="true"/>
                                <w:trHeight w:val="256" w:hRule="atLeast"/>
                                <w:cantSplit w:val="true"/>
                              </w:trPr>
                              <w:tc>
                                <w:tcPr>
                                  <w:tcW w:w="2729" w:type="dxa"/>
                                  <w:vMerge w:val="restart"/>
                                  <w:tcBorders>
                                    <w:left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Normal Parameters</w:t>
                                  </w:r>
                                  <w:r>
                                    <w:rPr>
                                      <w:rFonts w:cs="Times New Roman" w:ascii="Times New Roman" w:hAnsi="Times New Roman"/>
                                      <w:color w:val="000000"/>
                                      <w:vertAlign w:val="superscript"/>
                                    </w:rPr>
                                    <w:t>a,,b</w:t>
                                  </w:r>
                                </w:p>
                              </w:tc>
                              <w:tc>
                                <w:tcPr>
                                  <w:tcW w:w="2469" w:type="dxa"/>
                                  <w:tcBorders>
                                    <w:right w:val="single" w:sz="16" w:space="0" w:color="000001"/>
                                    <w:insideV w:val="single" w:sz="16" w:space="0" w:color="000001"/>
                                  </w:tcBorders>
                                  <w:shd w:color="auto" w:fill="FFFFFF" w:val="clear"/>
                                </w:tcPr>
                                <w:p>
                                  <w:pPr>
                                    <w:pStyle w:val="Normal"/>
                                    <w:spacing w:lineRule="auto" w:line="240" w:before="0" w:after="0"/>
                                    <w:rPr/>
                                  </w:pPr>
                                  <w:r>
                                    <w:rPr>
                                      <w:rFonts w:cs="Times New Roman" w:ascii="Times New Roman" w:hAnsi="Times New Roman"/>
                                      <w:color w:val="000000"/>
                                    </w:rPr>
                                    <w:t>Mean</w:t>
                                  </w:r>
                                </w:p>
                              </w:tc>
                              <w:tc>
                                <w:tcPr>
                                  <w:tcW w:w="1649" w:type="dxa"/>
                                  <w:tcBorders>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.0000000</w:t>
                                  </w:r>
                                </w:p>
                              </w:tc>
                            </w:tr>
                            <w:tr>
                              <w:trPr>
                                <w:tblHeader w:val="true"/>
                                <w:trHeight w:val="153" w:hRule="atLeast"/>
                                <w:cantSplit w:val="true"/>
                              </w:trPr>
                              <w:tc>
                                <w:tcPr>
                                  <w:tcW w:w="2729" w:type="dxa"/>
                                  <w:vMerge w:val="continue"/>
                                  <w:tcBorders>
                                    <w:left w:val="single" w:sz="16" w:space="0" w:color="000001"/>
                                  </w:tcBorders>
                                  <w:shd w:color="auto" w:fill="FFFFFF" w:val="clear"/>
                                  <w:tcMar>
                                    <w:left w:w="10" w:type="dxa"/>
                                  </w:tcMar>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r>
                                </w:p>
                              </w:tc>
                              <w:tc>
                                <w:tcPr>
                                  <w:tcW w:w="2469" w:type="dxa"/>
                                  <w:tcBorders>
                                    <w:right w:val="single" w:sz="16" w:space="0" w:color="000001"/>
                                    <w:insideV w:val="single" w:sz="16" w:space="0" w:color="000001"/>
                                  </w:tcBorders>
                                  <w:shd w:color="auto" w:fill="FFFFFF" w:val="clear"/>
                                </w:tcPr>
                                <w:p>
                                  <w:pPr>
                                    <w:pStyle w:val="Normal"/>
                                    <w:spacing w:lineRule="auto" w:line="240" w:before="0" w:after="0"/>
                                    <w:rPr/>
                                  </w:pPr>
                                  <w:r>
                                    <w:rPr>
                                      <w:rFonts w:cs="Times New Roman" w:ascii="Times New Roman" w:hAnsi="Times New Roman"/>
                                      <w:color w:val="000000"/>
                                    </w:rPr>
                                    <w:t>Std. Deviation</w:t>
                                  </w:r>
                                </w:p>
                              </w:tc>
                              <w:tc>
                                <w:tcPr>
                                  <w:tcW w:w="1649" w:type="dxa"/>
                                  <w:tcBorders>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1.23377852</w:t>
                                  </w:r>
                                </w:p>
                              </w:tc>
                            </w:tr>
                            <w:tr>
                              <w:trPr>
                                <w:tblHeader w:val="true"/>
                                <w:trHeight w:val="256" w:hRule="atLeast"/>
                                <w:cantSplit w:val="true"/>
                              </w:trPr>
                              <w:tc>
                                <w:tcPr>
                                  <w:tcW w:w="2729" w:type="dxa"/>
                                  <w:vMerge w:val="restart"/>
                                  <w:tcBorders>
                                    <w:left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Most Extreme Differences</w:t>
                                  </w:r>
                                </w:p>
                              </w:tc>
                              <w:tc>
                                <w:tcPr>
                                  <w:tcW w:w="2469" w:type="dxa"/>
                                  <w:tcBorders>
                                    <w:right w:val="single" w:sz="16" w:space="0" w:color="000001"/>
                                    <w:insideV w:val="single" w:sz="16" w:space="0" w:color="000001"/>
                                  </w:tcBorders>
                                  <w:shd w:color="auto" w:fill="FFFFFF" w:val="clear"/>
                                </w:tcPr>
                                <w:p>
                                  <w:pPr>
                                    <w:pStyle w:val="Normal"/>
                                    <w:spacing w:lineRule="auto" w:line="240" w:before="0" w:after="0"/>
                                    <w:rPr/>
                                  </w:pPr>
                                  <w:r>
                                    <w:rPr>
                                      <w:rFonts w:cs="Times New Roman" w:ascii="Times New Roman" w:hAnsi="Times New Roman"/>
                                      <w:color w:val="000000"/>
                                    </w:rPr>
                                    <w:t>Absolute</w:t>
                                  </w:r>
                                </w:p>
                              </w:tc>
                              <w:tc>
                                <w:tcPr>
                                  <w:tcW w:w="1649" w:type="dxa"/>
                                  <w:tcBorders>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.096</w:t>
                                  </w:r>
                                </w:p>
                              </w:tc>
                            </w:tr>
                            <w:tr>
                              <w:trPr>
                                <w:tblHeader w:val="true"/>
                                <w:trHeight w:val="153" w:hRule="atLeast"/>
                                <w:cantSplit w:val="true"/>
                              </w:trPr>
                              <w:tc>
                                <w:tcPr>
                                  <w:tcW w:w="2729" w:type="dxa"/>
                                  <w:vMerge w:val="continue"/>
                                  <w:tcBorders>
                                    <w:left w:val="single" w:sz="16" w:space="0" w:color="000001"/>
                                  </w:tcBorders>
                                  <w:shd w:color="auto" w:fill="FFFFFF" w:val="clear"/>
                                  <w:tcMar>
                                    <w:left w:w="10" w:type="dxa"/>
                                  </w:tcMar>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r>
                                </w:p>
                              </w:tc>
                              <w:tc>
                                <w:tcPr>
                                  <w:tcW w:w="2469" w:type="dxa"/>
                                  <w:tcBorders>
                                    <w:right w:val="single" w:sz="16" w:space="0" w:color="000001"/>
                                    <w:insideV w:val="single" w:sz="16" w:space="0" w:color="000001"/>
                                  </w:tcBorders>
                                  <w:shd w:color="auto" w:fill="FFFFFF" w:val="clear"/>
                                </w:tcPr>
                                <w:p>
                                  <w:pPr>
                                    <w:pStyle w:val="Normal"/>
                                    <w:spacing w:lineRule="auto" w:line="240" w:before="0" w:after="0"/>
                                    <w:rPr/>
                                  </w:pPr>
                                  <w:r>
                                    <w:rPr>
                                      <w:rFonts w:cs="Times New Roman" w:ascii="Times New Roman" w:hAnsi="Times New Roman"/>
                                      <w:color w:val="000000"/>
                                    </w:rPr>
                                    <w:t>Positive</w:t>
                                  </w:r>
                                </w:p>
                              </w:tc>
                              <w:tc>
                                <w:tcPr>
                                  <w:tcW w:w="1649" w:type="dxa"/>
                                  <w:tcBorders>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.079</w:t>
                                  </w:r>
                                </w:p>
                              </w:tc>
                            </w:tr>
                            <w:tr>
                              <w:trPr>
                                <w:tblHeader w:val="true"/>
                                <w:trHeight w:val="153" w:hRule="atLeast"/>
                                <w:cantSplit w:val="true"/>
                              </w:trPr>
                              <w:tc>
                                <w:tcPr>
                                  <w:tcW w:w="2729" w:type="dxa"/>
                                  <w:vMerge w:val="continue"/>
                                  <w:tcBorders>
                                    <w:left w:val="single" w:sz="16" w:space="0" w:color="000001"/>
                                  </w:tcBorders>
                                  <w:shd w:color="auto" w:fill="FFFFFF" w:val="clear"/>
                                  <w:tcMar>
                                    <w:left w:w="10" w:type="dxa"/>
                                  </w:tcMar>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r>
                                </w:p>
                              </w:tc>
                              <w:tc>
                                <w:tcPr>
                                  <w:tcW w:w="2469" w:type="dxa"/>
                                  <w:tcBorders>
                                    <w:right w:val="single" w:sz="16" w:space="0" w:color="000001"/>
                                    <w:insideV w:val="single" w:sz="16" w:space="0" w:color="000001"/>
                                  </w:tcBorders>
                                  <w:shd w:color="auto" w:fill="FFFFFF" w:val="clear"/>
                                </w:tcPr>
                                <w:p>
                                  <w:pPr>
                                    <w:pStyle w:val="Normal"/>
                                    <w:spacing w:lineRule="auto" w:line="240" w:before="0" w:after="0"/>
                                    <w:rPr/>
                                  </w:pPr>
                                  <w:r>
                                    <w:rPr>
                                      <w:rFonts w:cs="Times New Roman" w:ascii="Times New Roman" w:hAnsi="Times New Roman"/>
                                      <w:color w:val="000000"/>
                                    </w:rPr>
                                    <w:t>Negative</w:t>
                                  </w:r>
                                </w:p>
                              </w:tc>
                              <w:tc>
                                <w:tcPr>
                                  <w:tcW w:w="1649" w:type="dxa"/>
                                  <w:tcBorders>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-.096</w:t>
                                  </w:r>
                                </w:p>
                              </w:tc>
                            </w:tr>
                            <w:tr>
                              <w:trPr>
                                <w:tblHeader w:val="true"/>
                                <w:trHeight w:val="227" w:hRule="atLeast"/>
                                <w:cantSplit w:val="true"/>
                              </w:trPr>
                              <w:tc>
                                <w:tcPr>
                                  <w:tcW w:w="5198" w:type="dxa"/>
                                  <w:gridSpan w:val="2"/>
                                  <w:tcBorders>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Kolmogorov-Smirnov Z</w:t>
                                  </w:r>
                                </w:p>
                              </w:tc>
                              <w:tc>
                                <w:tcPr>
                                  <w:tcW w:w="1649" w:type="dxa"/>
                                  <w:tcBorders>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.615</w:t>
                                  </w:r>
                                </w:p>
                              </w:tc>
                            </w:tr>
                            <w:tr>
                              <w:trPr>
                                <w:tblHeader w:val="true"/>
                                <w:trHeight w:val="227" w:hRule="atLeast"/>
                                <w:cantSplit w:val="true"/>
                              </w:trPr>
                              <w:tc>
                                <w:tcPr>
                                  <w:tcW w:w="5198" w:type="dxa"/>
                                  <w:gridSpan w:val="2"/>
                                  <w:tcBorders>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Asymp. Sig. (2-tailed)</w:t>
                                  </w:r>
                                </w:p>
                              </w:tc>
                              <w:tc>
                                <w:tcPr>
                                  <w:tcW w:w="1649" w:type="dxa"/>
                                  <w:tcBorders>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.844</w:t>
                                  </w:r>
                                </w:p>
                              </w:tc>
                            </w:tr>
                            <w:tr>
                              <w:trPr>
                                <w:tblHeader w:val="true"/>
                                <w:trHeight w:val="227" w:hRule="atLeast"/>
                                <w:cantSplit w:val="true"/>
                              </w:trPr>
                              <w:tc>
                                <w:tcPr>
                                  <w:tcW w:w="6847" w:type="dxa"/>
                                  <w:gridSpan w:val="3"/>
                                  <w:tcBorders/>
                                  <w:shd w:color="auto" w:fill="FFFFFF" w:val="clear"/>
                                </w:tcPr>
                                <w:p>
                                  <w:pPr>
                                    <w:pStyle w:val="Normal"/>
                                    <w:spacing w:lineRule="auto" w:line="240" w:before="0" w:after="0"/>
                                    <w:rPr/>
                                  </w:pPr>
                                  <w:r>
                                    <w:rPr>
                                      <w:rFonts w:cs="Times New Roman" w:ascii="Times New Roman" w:hAnsi="Times New Roman"/>
                                      <w:color w:val="000000"/>
                                    </w:rPr>
                                    <w:t>a. Test distribution is Normal.</w:t>
                                  </w:r>
                                </w:p>
                              </w:tc>
                            </w:tr>
                            <w:tr>
                              <w:trPr>
                                <w:trHeight w:val="227" w:hRule="atLeast"/>
                                <w:cantSplit w:val="true"/>
                              </w:trPr>
                              <w:tc>
                                <w:tcPr>
                                  <w:tcW w:w="6847" w:type="dxa"/>
                                  <w:gridSpan w:val="3"/>
                                  <w:tcBorders/>
                                  <w:shd w:color="auto" w:fill="FFFFFF" w:val="clear"/>
                                </w:tcPr>
                                <w:p>
                                  <w:pPr>
                                    <w:pStyle w:val="Normal"/>
                                    <w:spacing w:lineRule="auto" w:line="240" w:before="0" w:after="0"/>
                                    <w:rPr/>
                                  </w:pPr>
                                  <w:r>
                                    <w:rPr>
                                      <w:rFonts w:cs="Times New Roman" w:ascii="Times New Roman" w:hAnsi="Times New Roman"/>
                                      <w:color w:val="000000"/>
                                    </w:rPr>
                                    <w:t>b. Calculated from data.</w:t>
                                  </w:r>
                                </w:p>
                                <w:p>
                                  <w:pPr>
                                    <w:pStyle w:val="NoSpacing1"/>
                                    <w:spacing w:lineRule="auto" w:line="240" w:before="0" w:after="200"/>
                                    <w:contextualSpacing/>
                                    <w:rPr/>
                                  </w:pPr>
                                  <w:r>
                                    <w:rPr>
                                      <w:rFonts w:ascii="Times New Roman" w:hAnsi="Times New Roman"/>
                                      <w:i/>
                                      <w:lang w:val="id-ID"/>
                                    </w:rPr>
                                    <w:t>Sumber : Pengolahan dilakukan dengan SPSS 20</w:t>
                                  </w:r>
                                </w:p>
                              </w:tc>
                            </w:tr>
                          </w:tbl>
                        </w:txbxContent>
                      </wps:txbx>
                      <wps:bodyPr anchor="t" lIns="0" tIns="0" rIns="0" bIns="0">
                        <a:spAutoFit/>
                      </wps:bodyPr>
                    </wps:wsp>
                  </a:graphicData>
                </a:graphic>
              </wp:anchor>
            </w:drawing>
          </mc:Choice>
          <mc:Fallback>
            <w:pict>
              <v:rect style="position:absolute;rotation:0;width:342.35pt;height:229.1pt;mso-wrap-distance-left:9pt;mso-wrap-distance-right:9pt;mso-wrap-distance-top:0pt;mso-wrap-distance-bottom:0pt;margin-top:12.2pt;mso-position-vertical-relative:text;margin-left:62.85pt;mso-position-horizontal:center;mso-position-horizontal-relative:margin">
                <v:textbox inset="0in,0in,0in,0in">
                  <w:txbxContent>
                    <w:tbl>
                      <w:tblPr>
                        <w:tblpPr w:bottomFromText="0" w:horzAnchor="margin" w:leftFromText="180" w:rightFromText="180" w:tblpX="0" w:tblpXSpec="center" w:tblpY="244" w:topFromText="0" w:vertAnchor="text"/>
                        <w:tblW w:w="6847" w:type="dxa"/>
                        <w:jc w:val="center"/>
                        <w:tblInd w:w="0" w:type="dxa"/>
                        <w:tblBorders/>
                        <w:tblCellMar>
                          <w:top w:w="30" w:type="dxa"/>
                          <w:left w:w="30" w:type="dxa"/>
                          <w:bottom w:w="30" w:type="dxa"/>
                          <w:right w:w="30" w:type="dxa"/>
                        </w:tblCellMar>
                        <w:tblLook w:firstRow="0" w:noVBand="0" w:lastRow="0" w:firstColumn="0" w:lastColumn="0" w:noHBand="0" w:val="0000"/>
                      </w:tblPr>
                      <w:tblGrid>
                        <w:gridCol w:w="2729"/>
                        <w:gridCol w:w="2469"/>
                        <w:gridCol w:w="1649"/>
                      </w:tblGrid>
                      <w:tr>
                        <w:trPr>
                          <w:tblHeader w:val="true"/>
                          <w:trHeight w:val="227" w:hRule="atLeast"/>
                          <w:cantSplit w:val="true"/>
                        </w:trPr>
                        <w:tc>
                          <w:tcPr>
                            <w:tcW w:w="6847" w:type="dxa"/>
                            <w:gridSpan w:val="3"/>
                            <w:tcBorders/>
                            <w:shd w:color="auto" w:fill="FFFFFF" w:val="clear"/>
                            <w:vAlign w:val="center"/>
                          </w:tcPr>
                          <w:p>
                            <w:pPr>
                              <w:pStyle w:val="Normal"/>
                              <w:spacing w:lineRule="auto" w:line="240" w:before="0" w:after="0"/>
                              <w:rPr/>
                            </w:pPr>
                            <w:r>
                              <w:rPr>
                                <w:rFonts w:cs="Times New Roman" w:ascii="Times New Roman" w:hAnsi="Times New Roman"/>
                                <w:b/>
                                <w:bCs/>
                                <w:color w:val="000000"/>
                              </w:rPr>
                              <w:t>One-Sample Kolmogorov-Smirnov Test</w:t>
                            </w:r>
                          </w:p>
                        </w:tc>
                      </w:tr>
                      <w:tr>
                        <w:trPr>
                          <w:tblHeader w:val="true"/>
                          <w:trHeight w:val="455" w:hRule="atLeast"/>
                          <w:cantSplit w:val="true"/>
                        </w:trPr>
                        <w:tc>
                          <w:tcPr>
                            <w:tcW w:w="2729" w:type="dxa"/>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rFonts w:ascii="Times New Roman" w:hAnsi="Times New Roman" w:cs="Times New Roman"/>
                              </w:rPr>
                            </w:pPr>
                            <w:r>
                              <w:rPr>
                                <w:rFonts w:cs="Times New Roman" w:ascii="Times New Roman" w:hAnsi="Times New Roman"/>
                              </w:rPr>
                            </w:r>
                          </w:p>
                        </w:tc>
                        <w:tc>
                          <w:tcPr>
                            <w:tcW w:w="2469" w:type="dxa"/>
                            <w:tcBorders>
                              <w:top w:val="single" w:sz="16" w:space="0" w:color="000001"/>
                              <w:bottom w:val="single" w:sz="16" w:space="0" w:color="000001"/>
                              <w:right w:val="single" w:sz="16" w:space="0" w:color="000001"/>
                              <w:insideH w:val="single" w:sz="16" w:space="0" w:color="000001"/>
                              <w:insideV w:val="single" w:sz="16" w:space="0" w:color="000001"/>
                            </w:tcBorders>
                            <w:shd w:color="auto" w:fill="FFFFFF" w:val="clear"/>
                          </w:tcPr>
                          <w:p>
                            <w:pPr>
                              <w:pStyle w:val="Normal"/>
                              <w:spacing w:lineRule="auto" w:line="240" w:before="0" w:after="0"/>
                              <w:rPr>
                                <w:rFonts w:ascii="Times New Roman" w:hAnsi="Times New Roman" w:cs="Times New Roman"/>
                              </w:rPr>
                            </w:pPr>
                            <w:r>
                              <w:rPr>
                                <w:rFonts w:cs="Times New Roman" w:ascii="Times New Roman" w:hAnsi="Times New Roman"/>
                              </w:rPr>
                            </w:r>
                          </w:p>
                        </w:tc>
                        <w:tc>
                          <w:tcPr>
                            <w:tcW w:w="1649" w:type="dxa"/>
                            <w:tcBorders>
                              <w:top w:val="single" w:sz="16" w:space="0" w:color="000001"/>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vAlign w:val="bottom"/>
                          </w:tcPr>
                          <w:p>
                            <w:pPr>
                              <w:pStyle w:val="Normal"/>
                              <w:spacing w:lineRule="auto" w:line="240" w:before="0" w:after="0"/>
                              <w:rPr/>
                            </w:pPr>
                            <w:r>
                              <w:rPr>
                                <w:rFonts w:cs="Times New Roman" w:ascii="Times New Roman" w:hAnsi="Times New Roman"/>
                                <w:color w:val="000000"/>
                              </w:rPr>
                              <w:t>Unstandardized Residual</w:t>
                            </w:r>
                          </w:p>
                        </w:tc>
                      </w:tr>
                      <w:tr>
                        <w:trPr>
                          <w:tblHeader w:val="true"/>
                          <w:trHeight w:val="227" w:hRule="atLeast"/>
                          <w:cantSplit w:val="true"/>
                        </w:trPr>
                        <w:tc>
                          <w:tcPr>
                            <w:tcW w:w="5198" w:type="dxa"/>
                            <w:gridSpan w:val="2"/>
                            <w:tcBorders>
                              <w:top w:val="single" w:sz="16" w:space="0" w:color="000001"/>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N</w:t>
                            </w:r>
                          </w:p>
                        </w:tc>
                        <w:tc>
                          <w:tcPr>
                            <w:tcW w:w="1649" w:type="dxa"/>
                            <w:tcBorders>
                              <w:top w:val="single" w:sz="16" w:space="0" w:color="000001"/>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205</w:t>
                            </w:r>
                          </w:p>
                        </w:tc>
                      </w:tr>
                      <w:tr>
                        <w:trPr>
                          <w:tblHeader w:val="true"/>
                          <w:trHeight w:val="256" w:hRule="atLeast"/>
                          <w:cantSplit w:val="true"/>
                        </w:trPr>
                        <w:tc>
                          <w:tcPr>
                            <w:tcW w:w="2729" w:type="dxa"/>
                            <w:vMerge w:val="restart"/>
                            <w:tcBorders>
                              <w:left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Normal Parameters</w:t>
                            </w:r>
                            <w:r>
                              <w:rPr>
                                <w:rFonts w:cs="Times New Roman" w:ascii="Times New Roman" w:hAnsi="Times New Roman"/>
                                <w:color w:val="000000"/>
                                <w:vertAlign w:val="superscript"/>
                              </w:rPr>
                              <w:t>a,,b</w:t>
                            </w:r>
                          </w:p>
                        </w:tc>
                        <w:tc>
                          <w:tcPr>
                            <w:tcW w:w="2469" w:type="dxa"/>
                            <w:tcBorders>
                              <w:right w:val="single" w:sz="16" w:space="0" w:color="000001"/>
                              <w:insideV w:val="single" w:sz="16" w:space="0" w:color="000001"/>
                            </w:tcBorders>
                            <w:shd w:color="auto" w:fill="FFFFFF" w:val="clear"/>
                          </w:tcPr>
                          <w:p>
                            <w:pPr>
                              <w:pStyle w:val="Normal"/>
                              <w:spacing w:lineRule="auto" w:line="240" w:before="0" w:after="0"/>
                              <w:rPr/>
                            </w:pPr>
                            <w:r>
                              <w:rPr>
                                <w:rFonts w:cs="Times New Roman" w:ascii="Times New Roman" w:hAnsi="Times New Roman"/>
                                <w:color w:val="000000"/>
                              </w:rPr>
                              <w:t>Mean</w:t>
                            </w:r>
                          </w:p>
                        </w:tc>
                        <w:tc>
                          <w:tcPr>
                            <w:tcW w:w="1649" w:type="dxa"/>
                            <w:tcBorders>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.0000000</w:t>
                            </w:r>
                          </w:p>
                        </w:tc>
                      </w:tr>
                      <w:tr>
                        <w:trPr>
                          <w:tblHeader w:val="true"/>
                          <w:trHeight w:val="153" w:hRule="atLeast"/>
                          <w:cantSplit w:val="true"/>
                        </w:trPr>
                        <w:tc>
                          <w:tcPr>
                            <w:tcW w:w="2729" w:type="dxa"/>
                            <w:vMerge w:val="continue"/>
                            <w:tcBorders>
                              <w:left w:val="single" w:sz="16" w:space="0" w:color="000001"/>
                            </w:tcBorders>
                            <w:shd w:color="auto" w:fill="FFFFFF" w:val="clear"/>
                            <w:tcMar>
                              <w:left w:w="10" w:type="dxa"/>
                            </w:tcMar>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r>
                          </w:p>
                        </w:tc>
                        <w:tc>
                          <w:tcPr>
                            <w:tcW w:w="2469" w:type="dxa"/>
                            <w:tcBorders>
                              <w:right w:val="single" w:sz="16" w:space="0" w:color="000001"/>
                              <w:insideV w:val="single" w:sz="16" w:space="0" w:color="000001"/>
                            </w:tcBorders>
                            <w:shd w:color="auto" w:fill="FFFFFF" w:val="clear"/>
                          </w:tcPr>
                          <w:p>
                            <w:pPr>
                              <w:pStyle w:val="Normal"/>
                              <w:spacing w:lineRule="auto" w:line="240" w:before="0" w:after="0"/>
                              <w:rPr/>
                            </w:pPr>
                            <w:r>
                              <w:rPr>
                                <w:rFonts w:cs="Times New Roman" w:ascii="Times New Roman" w:hAnsi="Times New Roman"/>
                                <w:color w:val="000000"/>
                              </w:rPr>
                              <w:t>Std. Deviation</w:t>
                            </w:r>
                          </w:p>
                        </w:tc>
                        <w:tc>
                          <w:tcPr>
                            <w:tcW w:w="1649" w:type="dxa"/>
                            <w:tcBorders>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1.23377852</w:t>
                            </w:r>
                          </w:p>
                        </w:tc>
                      </w:tr>
                      <w:tr>
                        <w:trPr>
                          <w:tblHeader w:val="true"/>
                          <w:trHeight w:val="256" w:hRule="atLeast"/>
                          <w:cantSplit w:val="true"/>
                        </w:trPr>
                        <w:tc>
                          <w:tcPr>
                            <w:tcW w:w="2729" w:type="dxa"/>
                            <w:vMerge w:val="restart"/>
                            <w:tcBorders>
                              <w:left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Most Extreme Differences</w:t>
                            </w:r>
                          </w:p>
                        </w:tc>
                        <w:tc>
                          <w:tcPr>
                            <w:tcW w:w="2469" w:type="dxa"/>
                            <w:tcBorders>
                              <w:right w:val="single" w:sz="16" w:space="0" w:color="000001"/>
                              <w:insideV w:val="single" w:sz="16" w:space="0" w:color="000001"/>
                            </w:tcBorders>
                            <w:shd w:color="auto" w:fill="FFFFFF" w:val="clear"/>
                          </w:tcPr>
                          <w:p>
                            <w:pPr>
                              <w:pStyle w:val="Normal"/>
                              <w:spacing w:lineRule="auto" w:line="240" w:before="0" w:after="0"/>
                              <w:rPr/>
                            </w:pPr>
                            <w:r>
                              <w:rPr>
                                <w:rFonts w:cs="Times New Roman" w:ascii="Times New Roman" w:hAnsi="Times New Roman"/>
                                <w:color w:val="000000"/>
                              </w:rPr>
                              <w:t>Absolute</w:t>
                            </w:r>
                          </w:p>
                        </w:tc>
                        <w:tc>
                          <w:tcPr>
                            <w:tcW w:w="1649" w:type="dxa"/>
                            <w:tcBorders>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.096</w:t>
                            </w:r>
                          </w:p>
                        </w:tc>
                      </w:tr>
                      <w:tr>
                        <w:trPr>
                          <w:tblHeader w:val="true"/>
                          <w:trHeight w:val="153" w:hRule="atLeast"/>
                          <w:cantSplit w:val="true"/>
                        </w:trPr>
                        <w:tc>
                          <w:tcPr>
                            <w:tcW w:w="2729" w:type="dxa"/>
                            <w:vMerge w:val="continue"/>
                            <w:tcBorders>
                              <w:left w:val="single" w:sz="16" w:space="0" w:color="000001"/>
                            </w:tcBorders>
                            <w:shd w:color="auto" w:fill="FFFFFF" w:val="clear"/>
                            <w:tcMar>
                              <w:left w:w="10" w:type="dxa"/>
                            </w:tcMar>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r>
                          </w:p>
                        </w:tc>
                        <w:tc>
                          <w:tcPr>
                            <w:tcW w:w="2469" w:type="dxa"/>
                            <w:tcBorders>
                              <w:right w:val="single" w:sz="16" w:space="0" w:color="000001"/>
                              <w:insideV w:val="single" w:sz="16" w:space="0" w:color="000001"/>
                            </w:tcBorders>
                            <w:shd w:color="auto" w:fill="FFFFFF" w:val="clear"/>
                          </w:tcPr>
                          <w:p>
                            <w:pPr>
                              <w:pStyle w:val="Normal"/>
                              <w:spacing w:lineRule="auto" w:line="240" w:before="0" w:after="0"/>
                              <w:rPr/>
                            </w:pPr>
                            <w:r>
                              <w:rPr>
                                <w:rFonts w:cs="Times New Roman" w:ascii="Times New Roman" w:hAnsi="Times New Roman"/>
                                <w:color w:val="000000"/>
                              </w:rPr>
                              <w:t>Positive</w:t>
                            </w:r>
                          </w:p>
                        </w:tc>
                        <w:tc>
                          <w:tcPr>
                            <w:tcW w:w="1649" w:type="dxa"/>
                            <w:tcBorders>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.079</w:t>
                            </w:r>
                          </w:p>
                        </w:tc>
                      </w:tr>
                      <w:tr>
                        <w:trPr>
                          <w:tblHeader w:val="true"/>
                          <w:trHeight w:val="153" w:hRule="atLeast"/>
                          <w:cantSplit w:val="true"/>
                        </w:trPr>
                        <w:tc>
                          <w:tcPr>
                            <w:tcW w:w="2729" w:type="dxa"/>
                            <w:vMerge w:val="continue"/>
                            <w:tcBorders>
                              <w:left w:val="single" w:sz="16" w:space="0" w:color="000001"/>
                            </w:tcBorders>
                            <w:shd w:color="auto" w:fill="FFFFFF" w:val="clear"/>
                            <w:tcMar>
                              <w:left w:w="10" w:type="dxa"/>
                            </w:tcMar>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r>
                          </w:p>
                        </w:tc>
                        <w:tc>
                          <w:tcPr>
                            <w:tcW w:w="2469" w:type="dxa"/>
                            <w:tcBorders>
                              <w:right w:val="single" w:sz="16" w:space="0" w:color="000001"/>
                              <w:insideV w:val="single" w:sz="16" w:space="0" w:color="000001"/>
                            </w:tcBorders>
                            <w:shd w:color="auto" w:fill="FFFFFF" w:val="clear"/>
                          </w:tcPr>
                          <w:p>
                            <w:pPr>
                              <w:pStyle w:val="Normal"/>
                              <w:spacing w:lineRule="auto" w:line="240" w:before="0" w:after="0"/>
                              <w:rPr/>
                            </w:pPr>
                            <w:r>
                              <w:rPr>
                                <w:rFonts w:cs="Times New Roman" w:ascii="Times New Roman" w:hAnsi="Times New Roman"/>
                                <w:color w:val="000000"/>
                              </w:rPr>
                              <w:t>Negative</w:t>
                            </w:r>
                          </w:p>
                        </w:tc>
                        <w:tc>
                          <w:tcPr>
                            <w:tcW w:w="1649" w:type="dxa"/>
                            <w:tcBorders>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-.096</w:t>
                            </w:r>
                          </w:p>
                        </w:tc>
                      </w:tr>
                      <w:tr>
                        <w:trPr>
                          <w:tblHeader w:val="true"/>
                          <w:trHeight w:val="227" w:hRule="atLeast"/>
                          <w:cantSplit w:val="true"/>
                        </w:trPr>
                        <w:tc>
                          <w:tcPr>
                            <w:tcW w:w="5198" w:type="dxa"/>
                            <w:gridSpan w:val="2"/>
                            <w:tcBorders>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Kolmogorov-Smirnov Z</w:t>
                            </w:r>
                          </w:p>
                        </w:tc>
                        <w:tc>
                          <w:tcPr>
                            <w:tcW w:w="1649" w:type="dxa"/>
                            <w:tcBorders>
                              <w:left w:val="single" w:sz="16" w:space="0" w:color="000001"/>
                              <w:right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.615</w:t>
                            </w:r>
                          </w:p>
                        </w:tc>
                      </w:tr>
                      <w:tr>
                        <w:trPr>
                          <w:tblHeader w:val="true"/>
                          <w:trHeight w:val="227" w:hRule="atLeast"/>
                          <w:cantSplit w:val="true"/>
                        </w:trPr>
                        <w:tc>
                          <w:tcPr>
                            <w:tcW w:w="5198" w:type="dxa"/>
                            <w:gridSpan w:val="2"/>
                            <w:tcBorders>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Asymp. Sig. (2-tailed)</w:t>
                            </w:r>
                          </w:p>
                        </w:tc>
                        <w:tc>
                          <w:tcPr>
                            <w:tcW w:w="1649" w:type="dxa"/>
                            <w:tcBorders>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tcPr>
                          <w:p>
                            <w:pPr>
                              <w:pStyle w:val="Normal"/>
                              <w:spacing w:lineRule="auto" w:line="240" w:before="0" w:after="0"/>
                              <w:rPr/>
                            </w:pPr>
                            <w:r>
                              <w:rPr>
                                <w:rFonts w:cs="Times New Roman" w:ascii="Times New Roman" w:hAnsi="Times New Roman"/>
                                <w:color w:val="000000"/>
                              </w:rPr>
                              <w:t>.844</w:t>
                            </w:r>
                          </w:p>
                        </w:tc>
                      </w:tr>
                      <w:tr>
                        <w:trPr>
                          <w:tblHeader w:val="true"/>
                          <w:trHeight w:val="227" w:hRule="atLeast"/>
                          <w:cantSplit w:val="true"/>
                        </w:trPr>
                        <w:tc>
                          <w:tcPr>
                            <w:tcW w:w="6847" w:type="dxa"/>
                            <w:gridSpan w:val="3"/>
                            <w:tcBorders/>
                            <w:shd w:color="auto" w:fill="FFFFFF" w:val="clear"/>
                          </w:tcPr>
                          <w:p>
                            <w:pPr>
                              <w:pStyle w:val="Normal"/>
                              <w:spacing w:lineRule="auto" w:line="240" w:before="0" w:after="0"/>
                              <w:rPr/>
                            </w:pPr>
                            <w:r>
                              <w:rPr>
                                <w:rFonts w:cs="Times New Roman" w:ascii="Times New Roman" w:hAnsi="Times New Roman"/>
                                <w:color w:val="000000"/>
                              </w:rPr>
                              <w:t>a. Test distribution is Normal.</w:t>
                            </w:r>
                          </w:p>
                        </w:tc>
                      </w:tr>
                      <w:tr>
                        <w:trPr>
                          <w:trHeight w:val="227" w:hRule="atLeast"/>
                          <w:cantSplit w:val="true"/>
                        </w:trPr>
                        <w:tc>
                          <w:tcPr>
                            <w:tcW w:w="6847" w:type="dxa"/>
                            <w:gridSpan w:val="3"/>
                            <w:tcBorders/>
                            <w:shd w:color="auto" w:fill="FFFFFF" w:val="clear"/>
                          </w:tcPr>
                          <w:p>
                            <w:pPr>
                              <w:pStyle w:val="Normal"/>
                              <w:spacing w:lineRule="auto" w:line="240" w:before="0" w:after="0"/>
                              <w:rPr/>
                            </w:pPr>
                            <w:r>
                              <w:rPr>
                                <w:rFonts w:cs="Times New Roman" w:ascii="Times New Roman" w:hAnsi="Times New Roman"/>
                                <w:color w:val="000000"/>
                              </w:rPr>
                              <w:t>b. Calculated from data.</w:t>
                            </w:r>
                          </w:p>
                          <w:p>
                            <w:pPr>
                              <w:pStyle w:val="NoSpacing1"/>
                              <w:spacing w:lineRule="auto" w:line="240" w:before="0" w:after="200"/>
                              <w:contextualSpacing/>
                              <w:rPr/>
                            </w:pPr>
                            <w:r>
                              <w:rPr>
                                <w:rFonts w:ascii="Times New Roman" w:hAnsi="Times New Roman"/>
                                <w:i/>
                                <w:lang w:val="id-ID"/>
                              </w:rPr>
                              <w:t>Sumber : Pengolahan dilakukan dengan SPSS 20</w:t>
                            </w:r>
                          </w:p>
                        </w:tc>
                      </w:tr>
                    </w:tbl>
                  </w:txbxContent>
                </v:textbox>
                <w10:wrap type="square"/>
              </v:rect>
            </w:pict>
          </mc:Fallback>
        </mc:AlternateConten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color w:val="222222"/>
          <w:sz w:val="24"/>
          <w:szCs w:val="24"/>
          <w:highlight w:val="white"/>
        </w:rPr>
      </w:pPr>
      <w:r>
        <w:rPr>
          <w:rFonts w:cs="Times New Roman" w:ascii="Times New Roman" w:hAnsi="Times New Roman"/>
          <w:color w:val="222222"/>
          <w:sz w:val="24"/>
          <w:szCs w:val="24"/>
          <w:shd w:fill="FFFFFF" w:val="clear"/>
        </w:rPr>
        <w:t xml:space="preserve"> </w:t>
      </w:r>
    </w:p>
    <w:p>
      <w:pPr>
        <w:pStyle w:val="Normal"/>
        <w:spacing w:lineRule="auto" w:line="240" w:before="0" w:after="0"/>
        <w:rPr>
          <w:rFonts w:ascii="Times New Roman" w:hAnsi="Times New Roman" w:eastAsia="MS Mincho" w:cs="Times New Roman"/>
          <w:sz w:val="24"/>
          <w:szCs w:val="24"/>
          <w:lang w:eastAsia="id-ID"/>
        </w:rPr>
      </w:pPr>
      <w:r>
        <w:rPr>
          <w:rFonts w:eastAsia="MS Mincho" w:cs="Times New Roman" w:ascii="Times New Roman" w:hAnsi="Times New Roman"/>
          <w:sz w:val="24"/>
          <w:szCs w:val="24"/>
          <w:lang w:eastAsia="id-ID"/>
        </w:rPr>
      </w:r>
    </w:p>
    <w:p>
      <w:pPr>
        <w:pStyle w:val="Normal"/>
        <w:spacing w:lineRule="auto" w:line="360"/>
        <w:jc w:val="both"/>
        <w:rPr>
          <w:rFonts w:ascii="Times New Roman" w:hAnsi="Times New Roman" w:eastAsia="Helvetica" w:cs="Times New Roman"/>
          <w:color w:val="000000"/>
          <w:sz w:val="24"/>
          <w:szCs w:val="24"/>
          <w:u w:val="none" w:color="000000"/>
          <w:lang w:eastAsia="id-ID"/>
        </w:rPr>
      </w:pPr>
      <w:r>
        <w:rPr>
          <w:rFonts w:eastAsia="Helvetica" w:cs="Times New Roman" w:ascii="Times New Roman" w:hAnsi="Times New Roman"/>
          <w:color w:val="000000"/>
          <w:sz w:val="24"/>
          <w:szCs w:val="24"/>
          <w:u w:val="none" w:color="000000"/>
          <w:lang w:eastAsia="id-ID"/>
        </w:rPr>
      </w:r>
    </w:p>
    <w:p>
      <w:pPr>
        <w:pStyle w:val="Normal"/>
        <w:spacing w:lineRule="auto" w:line="360"/>
        <w:rPr>
          <w:rFonts w:ascii="Times New Roman" w:hAnsi="Times New Roman" w:cs="Times New Roman"/>
          <w:sz w:val="24"/>
          <w:szCs w:val="24"/>
          <w:shd w:fill="FFFFFF" w:val="clear"/>
        </w:rPr>
      </w:pPr>
      <w:r>
        <w:rPr>
          <w:rFonts w:cs="Times New Roman" w:ascii="Times New Roman" w:hAnsi="Times New Roman"/>
          <w:sz w:val="24"/>
          <w:szCs w:val="24"/>
          <w:shd w:fill="FFFFFF" w:val="clear"/>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r>
    </w:p>
    <w:p>
      <w:pPr>
        <w:pStyle w:val="ListParagraph"/>
        <w:spacing w:lineRule="auto" w:line="360" w:before="0" w:after="200"/>
        <w:ind w:left="0" w:hanging="0"/>
        <w:rPr>
          <w:rFonts w:cs="Times New Roman"/>
        </w:rPr>
      </w:pPr>
      <w:r>
        <w:rPr>
          <w:rFonts w:cs="Times New Roman"/>
        </w:rPr>
      </w:r>
    </w:p>
    <w:p>
      <w:pPr>
        <w:pStyle w:val="Normal"/>
        <w:tabs>
          <w:tab w:val="left" w:pos="709" w:leader="none"/>
        </w:tabs>
        <w:spacing w:lineRule="auto" w:line="360"/>
        <w:ind w:left="709" w:hanging="0"/>
        <w:jc w:val="both"/>
        <w:rPr>
          <w:rFonts w:ascii="Times New Roman" w:hAnsi="Times New Roman" w:cs="Times New Roman"/>
          <w:sz w:val="24"/>
          <w:szCs w:val="24"/>
        </w:rPr>
      </w:pPr>
      <w:r>
        <w:rPr>
          <w:rFonts w:cs="Times New Roman" w:ascii="Times New Roman" w:hAnsi="Times New Roman"/>
          <w:sz w:val="24"/>
          <w:szCs w:val="24"/>
        </w:rPr>
        <w:t xml:space="preserve">Hasil uji normalitas menunjukkan hasil 0.844 dimana lebih besar dari 0.05 artinya data ini telah terdistribusi secara normal, maka data ini dapat digunakan untuk penelitian lebih lanjut. </w:t>
      </w:r>
    </w:p>
    <w:p>
      <w:pPr>
        <w:pStyle w:val="Normal"/>
        <w:tabs>
          <w:tab w:val="left" w:pos="1164" w:leader="none"/>
        </w:tabs>
        <w:spacing w:lineRule="auto" w:line="240" w:before="0" w:after="0"/>
        <w:jc w:val="center"/>
        <w:rPr>
          <w:b/>
          <w:b/>
        </w:rPr>
      </w:pPr>
      <w:r>
        <w:rPr>
          <w:b/>
        </w:rPr>
        <w:t>Tabel 2</w:t>
      </w:r>
    </w:p>
    <w:p>
      <w:pPr>
        <w:pStyle w:val="Normal"/>
        <w:tabs>
          <w:tab w:val="left" w:pos="1164" w:leader="none"/>
        </w:tabs>
        <w:spacing w:lineRule="auto" w:line="240" w:before="0" w:after="0"/>
        <w:jc w:val="center"/>
        <w:rPr>
          <w:b/>
          <w:b/>
        </w:rPr>
      </w:pPr>
      <w:r>
        <w:rPr>
          <w:b/>
        </w:rPr>
        <w:t>Hasil Uji Multikolinearitas</w:t>
      </w:r>
    </w:p>
    <w:tbl>
      <w:tblPr>
        <w:tblW w:w="8002" w:type="dxa"/>
        <w:jc w:val="center"/>
        <w:tblInd w:w="0" w:type="dxa"/>
        <w:tblBorders/>
        <w:tblCellMar>
          <w:top w:w="30" w:type="dxa"/>
          <w:left w:w="30" w:type="dxa"/>
          <w:bottom w:w="30" w:type="dxa"/>
          <w:right w:w="30" w:type="dxa"/>
        </w:tblCellMar>
        <w:tblLook w:firstRow="0" w:noVBand="0" w:lastRow="0" w:firstColumn="0" w:lastColumn="0" w:noHBand="0" w:val="0000"/>
      </w:tblPr>
      <w:tblGrid>
        <w:gridCol w:w="590"/>
        <w:gridCol w:w="1652"/>
        <w:gridCol w:w="651"/>
        <w:gridCol w:w="1078"/>
        <w:gridCol w:w="1"/>
        <w:gridCol w:w="1184"/>
        <w:gridCol w:w="1"/>
        <w:gridCol w:w="820"/>
        <w:gridCol w:w="1"/>
        <w:gridCol w:w="625"/>
        <w:gridCol w:w="1"/>
        <w:gridCol w:w="913"/>
        <w:gridCol w:w="476"/>
        <w:gridCol w:w="1"/>
        <w:gridCol w:w="7"/>
      </w:tblGrid>
      <w:tr>
        <w:trPr>
          <w:tblHeader w:val="true"/>
          <w:trHeight w:val="217" w:hRule="atLeast"/>
          <w:cantSplit w:val="true"/>
        </w:trPr>
        <w:tc>
          <w:tcPr>
            <w:tcW w:w="8001" w:type="dxa"/>
            <w:gridSpan w:val="15"/>
            <w:tcBorders/>
            <w:shd w:color="auto" w:fill="FFFFFF" w:val="clear"/>
            <w:vAlign w:val="center"/>
          </w:tcPr>
          <w:p>
            <w:pPr>
              <w:pStyle w:val="Normal"/>
              <w:spacing w:lineRule="auto" w:line="240" w:before="0" w:after="0"/>
              <w:rPr>
                <w:color w:val="000000"/>
                <w:sz w:val="18"/>
                <w:szCs w:val="18"/>
              </w:rPr>
            </w:pPr>
            <w:r>
              <w:rPr>
                <w:b/>
                <w:bCs/>
                <w:color w:val="000000"/>
                <w:sz w:val="18"/>
                <w:szCs w:val="18"/>
              </w:rPr>
              <w:t>Coefficients</w:t>
            </w:r>
            <w:r>
              <w:rPr>
                <w:b/>
                <w:bCs/>
                <w:color w:val="000000"/>
                <w:sz w:val="18"/>
                <w:szCs w:val="18"/>
                <w:vertAlign w:val="superscript"/>
              </w:rPr>
              <w:t>a</w:t>
            </w:r>
          </w:p>
        </w:tc>
      </w:tr>
      <w:tr>
        <w:trPr>
          <w:tblHeader w:val="true"/>
          <w:trHeight w:val="406" w:hRule="atLeast"/>
          <w:cantSplit w:val="true"/>
        </w:trPr>
        <w:tc>
          <w:tcPr>
            <w:tcW w:w="2242" w:type="dxa"/>
            <w:gridSpan w:val="2"/>
            <w:vMerge w:val="restart"/>
            <w:tcBorders>
              <w:top w:val="single" w:sz="16" w:space="0" w:color="000001"/>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t>Model</w:t>
            </w:r>
          </w:p>
        </w:tc>
        <w:tc>
          <w:tcPr>
            <w:tcW w:w="1730" w:type="dxa"/>
            <w:gridSpan w:val="3"/>
            <w:tcBorders>
              <w:top w:val="single" w:sz="16" w:space="0" w:color="000001"/>
              <w:left w:val="single" w:sz="16" w:space="0" w:color="000001"/>
              <w:bottom w:val="single" w:sz="8" w:space="0" w:color="000001"/>
              <w:right w:val="single" w:sz="8" w:space="0" w:color="000001"/>
              <w:insideH w:val="single" w:sz="8" w:space="0" w:color="000001"/>
              <w:insideV w:val="single" w:sz="8"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t>Unstandardized Coefficients</w:t>
            </w:r>
          </w:p>
        </w:tc>
        <w:tc>
          <w:tcPr>
            <w:tcW w:w="1185" w:type="dxa"/>
            <w:gridSpan w:val="2"/>
            <w:tcBorders>
              <w:top w:val="single" w:sz="16"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Standardized Coefficients</w:t>
            </w:r>
          </w:p>
        </w:tc>
        <w:tc>
          <w:tcPr>
            <w:tcW w:w="821" w:type="dxa"/>
            <w:gridSpan w:val="2"/>
            <w:vMerge w:val="restart"/>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t</w:t>
            </w:r>
          </w:p>
        </w:tc>
        <w:tc>
          <w:tcPr>
            <w:tcW w:w="626" w:type="dxa"/>
            <w:gridSpan w:val="2"/>
            <w:vMerge w:val="restart"/>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Sig.</w:t>
            </w:r>
          </w:p>
        </w:tc>
        <w:tc>
          <w:tcPr>
            <w:tcW w:w="1390" w:type="dxa"/>
            <w:gridSpan w:val="3"/>
            <w:tcBorders>
              <w:top w:val="single" w:sz="16" w:space="0" w:color="000001"/>
              <w:left w:val="single" w:sz="8" w:space="0" w:color="000001"/>
              <w:bottom w:val="single" w:sz="8" w:space="0" w:color="000001"/>
              <w:right w:val="single" w:sz="16" w:space="0" w:color="000001"/>
              <w:insideH w:val="single" w:sz="8" w:space="0" w:color="000001"/>
              <w:insideV w:val="single" w:sz="16"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Collinearity Statistics</w:t>
            </w:r>
          </w:p>
        </w:tc>
        <w:tc>
          <w:tcPr>
            <w:tcW w:w="7" w:type="dxa"/>
            <w:tcBorders/>
            <w:shd w:fill="auto" w:val="clear"/>
            <w:tcMar>
              <w:top w:w="0" w:type="dxa"/>
              <w:left w:w="40" w:type="dxa"/>
              <w:bottom w:w="0" w:type="dxa"/>
            </w:tcMar>
          </w:tcPr>
          <w:p>
            <w:pPr>
              <w:pStyle w:val="Normal"/>
              <w:widowControl/>
              <w:bidi w:val="0"/>
              <w:spacing w:lineRule="auto" w:line="276" w:before="0" w:after="200"/>
              <w:jc w:val="left"/>
              <w:rPr/>
            </w:pPr>
            <w:r>
              <w:rPr/>
            </w:r>
          </w:p>
        </w:tc>
      </w:tr>
      <w:tr>
        <w:trPr>
          <w:tblHeader w:val="true"/>
          <w:trHeight w:val="140" w:hRule="atLeast"/>
          <w:cantSplit w:val="true"/>
        </w:trPr>
        <w:tc>
          <w:tcPr>
            <w:tcW w:w="2242" w:type="dxa"/>
            <w:gridSpan w:val="2"/>
            <w:vMerge w:val="continue"/>
            <w:tcBorders>
              <w:top w:val="single" w:sz="16" w:space="0" w:color="000001"/>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r>
          </w:p>
        </w:tc>
        <w:tc>
          <w:tcPr>
            <w:tcW w:w="651" w:type="dxa"/>
            <w:tcBorders>
              <w:top w:val="single" w:sz="8" w:space="0" w:color="000001"/>
              <w:left w:val="single" w:sz="16" w:space="0" w:color="000001"/>
              <w:bottom w:val="single" w:sz="16" w:space="0" w:color="000001"/>
              <w:right w:val="single" w:sz="8" w:space="0" w:color="000001"/>
              <w:insideH w:val="single" w:sz="16" w:space="0" w:color="000001"/>
              <w:insideV w:val="single" w:sz="8"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t>B</w:t>
            </w:r>
          </w:p>
        </w:tc>
        <w:tc>
          <w:tcPr>
            <w:tcW w:w="1078" w:type="dxa"/>
            <w:tcBorders>
              <w:top w:val="single" w:sz="8"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Std. Error</w:t>
            </w:r>
          </w:p>
        </w:tc>
        <w:tc>
          <w:tcPr>
            <w:tcW w:w="1185" w:type="dxa"/>
            <w:gridSpan w:val="2"/>
            <w:tcBorders>
              <w:top w:val="single" w:sz="8"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Beta</w:t>
            </w:r>
          </w:p>
        </w:tc>
        <w:tc>
          <w:tcPr>
            <w:tcW w:w="821" w:type="dxa"/>
            <w:gridSpan w:val="2"/>
            <w:vMerge w:val="continue"/>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r>
          </w:p>
        </w:tc>
        <w:tc>
          <w:tcPr>
            <w:tcW w:w="626" w:type="dxa"/>
            <w:gridSpan w:val="2"/>
            <w:vMerge w:val="continue"/>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r>
          </w:p>
        </w:tc>
        <w:tc>
          <w:tcPr>
            <w:tcW w:w="914" w:type="dxa"/>
            <w:gridSpan w:val="2"/>
            <w:tcBorders>
              <w:top w:val="single" w:sz="8"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Tolerance</w:t>
            </w:r>
          </w:p>
        </w:tc>
        <w:tc>
          <w:tcPr>
            <w:tcW w:w="476" w:type="dxa"/>
            <w:tcBorders>
              <w:top w:val="single" w:sz="8" w:space="0" w:color="000001"/>
              <w:left w:val="single" w:sz="8" w:space="0" w:color="000001"/>
              <w:bottom w:val="single" w:sz="16" w:space="0" w:color="000001"/>
              <w:right w:val="single" w:sz="16" w:space="0" w:color="000001"/>
              <w:insideH w:val="single" w:sz="16" w:space="0" w:color="000001"/>
              <w:insideV w:val="single" w:sz="16"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VIF</w:t>
            </w:r>
          </w:p>
        </w:tc>
        <w:tc>
          <w:tcPr>
            <w:tcW w:w="8" w:type="dxa"/>
            <w:gridSpan w:val="2"/>
            <w:tcBorders/>
            <w:shd w:fill="auto" w:val="clear"/>
            <w:tcMar>
              <w:top w:w="0" w:type="dxa"/>
              <w:left w:w="40" w:type="dxa"/>
              <w:bottom w:w="0" w:type="dxa"/>
            </w:tcMar>
          </w:tcPr>
          <w:p>
            <w:pPr>
              <w:pStyle w:val="Normal"/>
              <w:widowControl/>
              <w:bidi w:val="0"/>
              <w:spacing w:lineRule="auto" w:line="276" w:before="0" w:after="200"/>
              <w:jc w:val="left"/>
              <w:rPr/>
            </w:pPr>
            <w:r>
              <w:rPr/>
            </w:r>
          </w:p>
        </w:tc>
      </w:tr>
      <w:tr>
        <w:trPr>
          <w:tblHeader w:val="true"/>
          <w:trHeight w:val="298" w:hRule="atLeast"/>
          <w:cantSplit w:val="true"/>
        </w:trPr>
        <w:tc>
          <w:tcPr>
            <w:tcW w:w="590" w:type="dxa"/>
            <w:vMerge w:val="restart"/>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w:t>
            </w:r>
          </w:p>
        </w:tc>
        <w:tc>
          <w:tcPr>
            <w:tcW w:w="1652" w:type="dxa"/>
            <w:tcBorders>
              <w:top w:val="single" w:sz="16" w:space="0" w:color="000001"/>
              <w:right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(Constant)</w:t>
            </w:r>
          </w:p>
        </w:tc>
        <w:tc>
          <w:tcPr>
            <w:tcW w:w="651" w:type="dxa"/>
            <w:tcBorders>
              <w:top w:val="single" w:sz="16" w:space="0" w:color="000001"/>
              <w:left w:val="single" w:sz="16" w:space="0" w:color="000001"/>
              <w:right w:val="single" w:sz="8"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-.330</w:t>
            </w:r>
          </w:p>
        </w:tc>
        <w:tc>
          <w:tcPr>
            <w:tcW w:w="1078" w:type="dxa"/>
            <w:tcBorders>
              <w:top w:val="single" w:sz="16" w:space="0" w:color="000001"/>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.651</w:t>
            </w:r>
          </w:p>
        </w:tc>
        <w:tc>
          <w:tcPr>
            <w:tcW w:w="1185" w:type="dxa"/>
            <w:gridSpan w:val="2"/>
            <w:tcBorders>
              <w:top w:val="single" w:sz="16" w:space="0" w:color="000001"/>
              <w:left w:val="single" w:sz="8" w:space="0" w:color="000001"/>
              <w:right w:val="single" w:sz="8" w:space="0" w:color="000001"/>
              <w:insideV w:val="single" w:sz="8" w:space="0" w:color="000001"/>
            </w:tcBorders>
            <w:shd w:color="auto" w:fill="FFFFFF" w:val="clear"/>
            <w:tcMar>
              <w:left w:w="20" w:type="dxa"/>
            </w:tcMar>
            <w:vAlign w:val="center"/>
          </w:tcPr>
          <w:p>
            <w:pPr>
              <w:pStyle w:val="Normal"/>
              <w:spacing w:lineRule="auto" w:line="240" w:before="0" w:after="0"/>
              <w:rPr/>
            </w:pPr>
            <w:r>
              <w:rPr/>
            </w:r>
          </w:p>
        </w:tc>
        <w:tc>
          <w:tcPr>
            <w:tcW w:w="821" w:type="dxa"/>
            <w:gridSpan w:val="2"/>
            <w:tcBorders>
              <w:top w:val="single" w:sz="16" w:space="0" w:color="000001"/>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-.507</w:t>
            </w:r>
          </w:p>
        </w:tc>
        <w:tc>
          <w:tcPr>
            <w:tcW w:w="626" w:type="dxa"/>
            <w:gridSpan w:val="2"/>
            <w:tcBorders>
              <w:top w:val="single" w:sz="16" w:space="0" w:color="000001"/>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.615</w:t>
            </w:r>
          </w:p>
        </w:tc>
        <w:tc>
          <w:tcPr>
            <w:tcW w:w="914" w:type="dxa"/>
            <w:gridSpan w:val="2"/>
            <w:tcBorders>
              <w:top w:val="single" w:sz="16" w:space="0" w:color="000001"/>
              <w:left w:val="single" w:sz="8" w:space="0" w:color="000001"/>
              <w:right w:val="single" w:sz="8" w:space="0" w:color="000001"/>
              <w:insideV w:val="single" w:sz="8" w:space="0" w:color="000001"/>
            </w:tcBorders>
            <w:shd w:color="auto" w:fill="FFFFFF" w:val="clear"/>
            <w:tcMar>
              <w:left w:w="20" w:type="dxa"/>
            </w:tcMar>
            <w:vAlign w:val="center"/>
          </w:tcPr>
          <w:p>
            <w:pPr>
              <w:pStyle w:val="Normal"/>
              <w:spacing w:lineRule="auto" w:line="240" w:before="0" w:after="0"/>
              <w:rPr/>
            </w:pPr>
            <w:r>
              <w:rPr/>
            </w:r>
          </w:p>
        </w:tc>
        <w:tc>
          <w:tcPr>
            <w:tcW w:w="476" w:type="dxa"/>
            <w:tcBorders>
              <w:top w:val="single" w:sz="16" w:space="0" w:color="000001"/>
              <w:left w:val="single" w:sz="8" w:space="0" w:color="000001"/>
              <w:right w:val="single" w:sz="16" w:space="0" w:color="000001"/>
              <w:insideV w:val="single" w:sz="16" w:space="0" w:color="000001"/>
            </w:tcBorders>
            <w:shd w:color="auto" w:fill="FFFFFF" w:val="clear"/>
            <w:tcMar>
              <w:left w:w="20" w:type="dxa"/>
            </w:tcMar>
            <w:vAlign w:val="center"/>
          </w:tcPr>
          <w:p>
            <w:pPr>
              <w:pStyle w:val="Normal"/>
              <w:spacing w:lineRule="auto" w:line="240" w:before="0" w:after="0"/>
              <w:rPr/>
            </w:pPr>
            <w:r>
              <w:rPr/>
            </w:r>
          </w:p>
        </w:tc>
        <w:tc>
          <w:tcPr>
            <w:tcW w:w="8" w:type="dxa"/>
            <w:gridSpan w:val="2"/>
            <w:tcBorders/>
            <w:shd w:fill="auto" w:val="clear"/>
            <w:tcMar>
              <w:top w:w="0" w:type="dxa"/>
              <w:left w:w="40" w:type="dxa"/>
              <w:bottom w:w="0" w:type="dxa"/>
            </w:tcMar>
          </w:tcPr>
          <w:p>
            <w:pPr>
              <w:pStyle w:val="Normal"/>
              <w:widowControl/>
              <w:bidi w:val="0"/>
              <w:spacing w:lineRule="auto" w:line="276" w:before="0" w:after="200"/>
              <w:jc w:val="left"/>
              <w:rPr/>
            </w:pPr>
            <w:r>
              <w:rPr/>
            </w:r>
          </w:p>
        </w:tc>
      </w:tr>
      <w:tr>
        <w:trPr>
          <w:tblHeader w:val="true"/>
          <w:trHeight w:val="140" w:hRule="atLeast"/>
          <w:cantSplit w:val="true"/>
        </w:trPr>
        <w:tc>
          <w:tcPr>
            <w:tcW w:w="590" w:type="dxa"/>
            <w:vMerge w:val="continue"/>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pPr>
            <w:r>
              <w:rPr/>
            </w:r>
          </w:p>
        </w:tc>
        <w:tc>
          <w:tcPr>
            <w:tcW w:w="1652" w:type="dxa"/>
            <w:tcBorders>
              <w:right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LN_ROA</w:t>
            </w:r>
          </w:p>
        </w:tc>
        <w:tc>
          <w:tcPr>
            <w:tcW w:w="651" w:type="dxa"/>
            <w:tcBorders>
              <w:left w:val="single" w:sz="16" w:space="0" w:color="000001"/>
              <w:right w:val="single" w:sz="8"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1.491</w:t>
            </w:r>
          </w:p>
        </w:tc>
        <w:tc>
          <w:tcPr>
            <w:tcW w:w="1078"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.485</w:t>
            </w:r>
          </w:p>
        </w:tc>
        <w:tc>
          <w:tcPr>
            <w:tcW w:w="1185"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1.269</w:t>
            </w:r>
          </w:p>
        </w:tc>
        <w:tc>
          <w:tcPr>
            <w:tcW w:w="821"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3.076</w:t>
            </w:r>
          </w:p>
        </w:tc>
        <w:tc>
          <w:tcPr>
            <w:tcW w:w="626"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.004</w:t>
            </w:r>
          </w:p>
        </w:tc>
        <w:tc>
          <w:tcPr>
            <w:tcW w:w="914"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.123</w:t>
            </w:r>
          </w:p>
        </w:tc>
        <w:tc>
          <w:tcPr>
            <w:tcW w:w="476" w:type="dxa"/>
            <w:tcBorders>
              <w:left w:val="single" w:sz="8" w:space="0" w:color="000001"/>
              <w:right w:val="single" w:sz="16" w:space="0" w:color="000001"/>
              <w:insideV w:val="single" w:sz="16"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8.111</w:t>
            </w:r>
          </w:p>
        </w:tc>
        <w:tc>
          <w:tcPr>
            <w:tcW w:w="8" w:type="dxa"/>
            <w:gridSpan w:val="2"/>
            <w:tcBorders/>
            <w:shd w:fill="auto" w:val="clear"/>
            <w:tcMar>
              <w:top w:w="0" w:type="dxa"/>
              <w:left w:w="40" w:type="dxa"/>
              <w:bottom w:w="0" w:type="dxa"/>
            </w:tcMar>
          </w:tcPr>
          <w:p>
            <w:pPr>
              <w:pStyle w:val="Normal"/>
              <w:widowControl/>
              <w:bidi w:val="0"/>
              <w:spacing w:lineRule="auto" w:line="276" w:before="0" w:after="200"/>
              <w:jc w:val="left"/>
              <w:rPr/>
            </w:pPr>
            <w:r>
              <w:rPr/>
            </w:r>
          </w:p>
        </w:tc>
      </w:tr>
      <w:tr>
        <w:trPr>
          <w:tblHeader w:val="true"/>
          <w:trHeight w:val="140" w:hRule="atLeast"/>
          <w:cantSplit w:val="true"/>
        </w:trPr>
        <w:tc>
          <w:tcPr>
            <w:tcW w:w="590" w:type="dxa"/>
            <w:vMerge w:val="continue"/>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r>
          </w:p>
        </w:tc>
        <w:tc>
          <w:tcPr>
            <w:tcW w:w="1652" w:type="dxa"/>
            <w:tcBorders>
              <w:right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LN_DER</w:t>
            </w:r>
          </w:p>
        </w:tc>
        <w:tc>
          <w:tcPr>
            <w:tcW w:w="651" w:type="dxa"/>
            <w:tcBorders>
              <w:left w:val="single" w:sz="16" w:space="0" w:color="000001"/>
              <w:right w:val="single" w:sz="8"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-1.230</w:t>
            </w:r>
          </w:p>
        </w:tc>
        <w:tc>
          <w:tcPr>
            <w:tcW w:w="1078"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.535</w:t>
            </w:r>
          </w:p>
        </w:tc>
        <w:tc>
          <w:tcPr>
            <w:tcW w:w="1185"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-1.011</w:t>
            </w:r>
          </w:p>
        </w:tc>
        <w:tc>
          <w:tcPr>
            <w:tcW w:w="821"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-2.299</w:t>
            </w:r>
          </w:p>
        </w:tc>
        <w:tc>
          <w:tcPr>
            <w:tcW w:w="626"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.027</w:t>
            </w:r>
          </w:p>
        </w:tc>
        <w:tc>
          <w:tcPr>
            <w:tcW w:w="914"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.109</w:t>
            </w:r>
          </w:p>
        </w:tc>
        <w:tc>
          <w:tcPr>
            <w:tcW w:w="476" w:type="dxa"/>
            <w:tcBorders>
              <w:left w:val="single" w:sz="8" w:space="0" w:color="000001"/>
              <w:right w:val="single" w:sz="16" w:space="0" w:color="000001"/>
              <w:insideV w:val="single" w:sz="16"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9.208</w:t>
            </w:r>
          </w:p>
        </w:tc>
        <w:tc>
          <w:tcPr>
            <w:tcW w:w="8" w:type="dxa"/>
            <w:gridSpan w:val="2"/>
            <w:tcBorders/>
            <w:shd w:fill="auto" w:val="clear"/>
            <w:tcMar>
              <w:top w:w="0" w:type="dxa"/>
              <w:left w:w="40" w:type="dxa"/>
              <w:bottom w:w="0" w:type="dxa"/>
            </w:tcMar>
          </w:tcPr>
          <w:p>
            <w:pPr>
              <w:pStyle w:val="Normal"/>
              <w:widowControl/>
              <w:bidi w:val="0"/>
              <w:spacing w:lineRule="auto" w:line="276" w:before="0" w:after="200"/>
              <w:jc w:val="left"/>
              <w:rPr/>
            </w:pPr>
            <w:r>
              <w:rPr/>
            </w:r>
          </w:p>
        </w:tc>
      </w:tr>
      <w:tr>
        <w:trPr>
          <w:tblHeader w:val="true"/>
          <w:trHeight w:val="140" w:hRule="atLeast"/>
          <w:cantSplit w:val="true"/>
        </w:trPr>
        <w:tc>
          <w:tcPr>
            <w:tcW w:w="590" w:type="dxa"/>
            <w:vMerge w:val="continue"/>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r>
          </w:p>
        </w:tc>
        <w:tc>
          <w:tcPr>
            <w:tcW w:w="1652" w:type="dxa"/>
            <w:tcBorders>
              <w:right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LN_NPM</w:t>
            </w:r>
          </w:p>
        </w:tc>
        <w:tc>
          <w:tcPr>
            <w:tcW w:w="651" w:type="dxa"/>
            <w:tcBorders>
              <w:left w:val="single" w:sz="16" w:space="0" w:color="000001"/>
              <w:right w:val="single" w:sz="8"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.160</w:t>
            </w:r>
          </w:p>
        </w:tc>
        <w:tc>
          <w:tcPr>
            <w:tcW w:w="1078"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.192</w:t>
            </w:r>
          </w:p>
        </w:tc>
        <w:tc>
          <w:tcPr>
            <w:tcW w:w="1185"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.139</w:t>
            </w:r>
          </w:p>
        </w:tc>
        <w:tc>
          <w:tcPr>
            <w:tcW w:w="821"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.831</w:t>
            </w:r>
          </w:p>
        </w:tc>
        <w:tc>
          <w:tcPr>
            <w:tcW w:w="626"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.411</w:t>
            </w:r>
          </w:p>
        </w:tc>
        <w:tc>
          <w:tcPr>
            <w:tcW w:w="914"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.749</w:t>
            </w:r>
          </w:p>
        </w:tc>
        <w:tc>
          <w:tcPr>
            <w:tcW w:w="476" w:type="dxa"/>
            <w:tcBorders>
              <w:left w:val="single" w:sz="8" w:space="0" w:color="000001"/>
              <w:right w:val="single" w:sz="16" w:space="0" w:color="000001"/>
              <w:insideV w:val="single" w:sz="16"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1.335</w:t>
            </w:r>
          </w:p>
        </w:tc>
        <w:tc>
          <w:tcPr>
            <w:tcW w:w="8" w:type="dxa"/>
            <w:gridSpan w:val="2"/>
            <w:tcBorders/>
            <w:shd w:fill="auto" w:val="clear"/>
            <w:tcMar>
              <w:top w:w="0" w:type="dxa"/>
              <w:left w:w="40" w:type="dxa"/>
              <w:bottom w:w="0" w:type="dxa"/>
            </w:tcMar>
          </w:tcPr>
          <w:p>
            <w:pPr>
              <w:pStyle w:val="Normal"/>
              <w:widowControl/>
              <w:bidi w:val="0"/>
              <w:spacing w:lineRule="auto" w:line="276" w:before="0" w:after="200"/>
              <w:jc w:val="left"/>
              <w:rPr/>
            </w:pPr>
            <w:r>
              <w:rPr/>
            </w:r>
          </w:p>
        </w:tc>
      </w:tr>
      <w:tr>
        <w:trPr>
          <w:tblHeader w:val="true"/>
          <w:trHeight w:val="140" w:hRule="atLeast"/>
          <w:cantSplit w:val="true"/>
        </w:trPr>
        <w:tc>
          <w:tcPr>
            <w:tcW w:w="590" w:type="dxa"/>
            <w:vMerge w:val="continue"/>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r>
          </w:p>
        </w:tc>
        <w:tc>
          <w:tcPr>
            <w:tcW w:w="1652" w:type="dxa"/>
            <w:tcBorders>
              <w:bottom w:val="single" w:sz="16" w:space="0" w:color="000001"/>
              <w:right w:val="single" w:sz="16" w:space="0" w:color="000001"/>
              <w:insideH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LN_INDEKS_ECKEL</w:t>
            </w:r>
          </w:p>
        </w:tc>
        <w:tc>
          <w:tcPr>
            <w:tcW w:w="651" w:type="dxa"/>
            <w:tcBorders>
              <w:left w:val="single" w:sz="16" w:space="0" w:color="000001"/>
              <w:bottom w:val="single" w:sz="16" w:space="0" w:color="000001"/>
              <w:right w:val="single" w:sz="8" w:space="0" w:color="000001"/>
              <w:insideH w:val="single" w:sz="16"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.125</w:t>
            </w:r>
          </w:p>
        </w:tc>
        <w:tc>
          <w:tcPr>
            <w:tcW w:w="1078" w:type="dxa"/>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.158</w:t>
            </w:r>
          </w:p>
        </w:tc>
        <w:tc>
          <w:tcPr>
            <w:tcW w:w="1185" w:type="dxa"/>
            <w:gridSpan w:val="2"/>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.131</w:t>
            </w:r>
          </w:p>
        </w:tc>
        <w:tc>
          <w:tcPr>
            <w:tcW w:w="821" w:type="dxa"/>
            <w:gridSpan w:val="2"/>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.796</w:t>
            </w:r>
          </w:p>
        </w:tc>
        <w:tc>
          <w:tcPr>
            <w:tcW w:w="626" w:type="dxa"/>
            <w:gridSpan w:val="2"/>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.431</w:t>
            </w:r>
          </w:p>
        </w:tc>
        <w:tc>
          <w:tcPr>
            <w:tcW w:w="914" w:type="dxa"/>
            <w:gridSpan w:val="2"/>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.776</w:t>
            </w:r>
          </w:p>
        </w:tc>
        <w:tc>
          <w:tcPr>
            <w:tcW w:w="476" w:type="dxa"/>
            <w:tcBorders>
              <w:left w:val="single" w:sz="8" w:space="0" w:color="000001"/>
              <w:bottom w:val="single" w:sz="16" w:space="0" w:color="000001"/>
              <w:right w:val="single" w:sz="16" w:space="0" w:color="000001"/>
              <w:insideH w:val="single" w:sz="16" w:space="0" w:color="000001"/>
              <w:insideV w:val="single" w:sz="16"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1.288</w:t>
            </w:r>
          </w:p>
        </w:tc>
        <w:tc>
          <w:tcPr>
            <w:tcW w:w="8" w:type="dxa"/>
            <w:gridSpan w:val="2"/>
            <w:tcBorders/>
            <w:shd w:fill="auto" w:val="clear"/>
            <w:tcMar>
              <w:top w:w="0" w:type="dxa"/>
              <w:left w:w="40" w:type="dxa"/>
              <w:bottom w:w="0" w:type="dxa"/>
            </w:tcMar>
          </w:tcPr>
          <w:p>
            <w:pPr>
              <w:pStyle w:val="Normal"/>
              <w:widowControl/>
              <w:bidi w:val="0"/>
              <w:spacing w:lineRule="auto" w:line="276" w:before="0" w:after="200"/>
              <w:jc w:val="left"/>
              <w:rPr/>
            </w:pPr>
            <w:r>
              <w:rPr/>
            </w:r>
          </w:p>
        </w:tc>
      </w:tr>
      <w:tr>
        <w:trPr>
          <w:trHeight w:val="217" w:hRule="atLeast"/>
          <w:cantSplit w:val="true"/>
        </w:trPr>
        <w:tc>
          <w:tcPr>
            <w:tcW w:w="8001" w:type="dxa"/>
            <w:gridSpan w:val="15"/>
            <w:tcBorders/>
            <w:shd w:color="auto" w:fill="FFFFFF" w:val="clear"/>
          </w:tcPr>
          <w:p>
            <w:pPr>
              <w:pStyle w:val="Normal"/>
              <w:spacing w:lineRule="auto" w:line="240" w:before="0" w:after="0"/>
              <w:rPr>
                <w:sz w:val="18"/>
                <w:szCs w:val="18"/>
              </w:rPr>
            </w:pPr>
            <w:r>
              <w:rPr>
                <w:sz w:val="18"/>
                <w:szCs w:val="18"/>
              </w:rPr>
              <w:t>Dependent Variable: LN_RETURN</w:t>
            </w:r>
          </w:p>
          <w:p>
            <w:pPr>
              <w:pStyle w:val="NoSpacing1"/>
              <w:spacing w:lineRule="auto" w:line="240" w:before="0" w:after="200"/>
              <w:contextualSpacing/>
              <w:rPr>
                <w:rFonts w:ascii="Times New Roman" w:hAnsi="Times New Roman"/>
                <w:i/>
                <w:i/>
                <w:sz w:val="24"/>
                <w:szCs w:val="24"/>
              </w:rPr>
            </w:pPr>
            <w:r>
              <w:rPr>
                <w:rFonts w:ascii="Times New Roman" w:hAnsi="Times New Roman"/>
                <w:i/>
                <w:sz w:val="24"/>
                <w:szCs w:val="24"/>
                <w:lang w:val="id-ID"/>
              </w:rPr>
              <w:t>Sumber : Pengolahan dilakukan dengan SPSS 20</w:t>
            </w:r>
          </w:p>
        </w:tc>
      </w:tr>
    </w:tbl>
    <w:p>
      <w:pPr>
        <w:pStyle w:val="NoSpacing1"/>
        <w:spacing w:lineRule="auto" w:line="360" w:before="0" w:after="240"/>
        <w:ind w:firstLine="720"/>
        <w:contextualSpacing/>
        <w:jc w:val="both"/>
        <w:rPr>
          <w:rFonts w:ascii="Times New Roman" w:hAnsi="Times New Roman"/>
          <w:sz w:val="24"/>
          <w:szCs w:val="24"/>
        </w:rPr>
      </w:pPr>
      <w:r>
        <w:rPr>
          <w:rFonts w:ascii="Times New Roman" w:hAnsi="Times New Roman"/>
          <w:sz w:val="24"/>
          <w:szCs w:val="24"/>
        </w:rPr>
        <w:t xml:space="preserve">Berdasarkan Tabel 2 hasil uji multikolinearitas menunjukkan </w:t>
      </w:r>
      <w:r>
        <w:rPr>
          <w:rFonts w:ascii="Times New Roman" w:hAnsi="Times New Roman"/>
          <w:iCs/>
          <w:sz w:val="24"/>
          <w:szCs w:val="24"/>
          <w:lang w:val="id-ID"/>
        </w:rPr>
        <w:t xml:space="preserve"> bahwa</w:t>
      </w:r>
      <w:r>
        <w:rPr>
          <w:rFonts w:ascii="Times New Roman" w:hAnsi="Times New Roman"/>
          <w:sz w:val="24"/>
          <w:szCs w:val="24"/>
          <w:lang w:val="id-ID"/>
        </w:rPr>
        <w:t xml:space="preserve"> m</w:t>
      </w:r>
      <w:r>
        <w:rPr>
          <w:rFonts w:ascii="Times New Roman" w:hAnsi="Times New Roman"/>
          <w:sz w:val="24"/>
          <w:szCs w:val="24"/>
        </w:rPr>
        <w:t xml:space="preserve">asing-masing variabel independen memiliki nilai </w:t>
      </w:r>
      <w:r>
        <w:rPr>
          <w:rFonts w:ascii="Times New Roman" w:hAnsi="Times New Roman"/>
          <w:i/>
          <w:sz w:val="24"/>
          <w:szCs w:val="24"/>
        </w:rPr>
        <w:t>tolerance</w:t>
      </w:r>
      <w:r>
        <w:rPr>
          <w:rFonts w:ascii="Times New Roman" w:hAnsi="Times New Roman"/>
          <w:sz w:val="24"/>
          <w:szCs w:val="24"/>
        </w:rPr>
        <w:t xml:space="preserve"> &gt; 0,1 dan nilai VIF &lt; 10, hal ini menunjukkan bahwa dalam model regresi ini tidak terjadi masalah multikolinearitas, yang artinya dalam model regresi ini tidak terdapat hubungan antar variabel independennya. Suatu model regresi dapat dikatakan baik apabila tidak terdapat masalah multikolinearitas di dalamnya, sehingga data ini dapat digunakan untuk penelitian lebih lanjut.</w:t>
      </w:r>
    </w:p>
    <w:p>
      <w:pPr>
        <w:pStyle w:val="Normal"/>
        <w:spacing w:lineRule="auto" w:line="240" w:before="0" w:after="0"/>
        <w:jc w:val="center"/>
        <w:rPr>
          <w:b/>
          <w:b/>
        </w:rPr>
      </w:pPr>
      <w:r>
        <w:rPr>
          <w:b/>
        </w:rPr>
        <w:t>Tabel 3</w:t>
      </w:r>
    </w:p>
    <w:p>
      <w:pPr>
        <w:pStyle w:val="Normal"/>
        <w:spacing w:lineRule="auto" w:line="240" w:before="0" w:after="0"/>
        <w:jc w:val="center"/>
        <w:rPr>
          <w:b/>
          <w:b/>
        </w:rPr>
      </w:pPr>
      <w:r>
        <w:rPr>
          <w:b/>
        </w:rPr>
        <w:t>Hasil Heterokedastisitas- Uji Gletsjer</w:t>
      </w:r>
    </w:p>
    <w:tbl>
      <w:tblPr>
        <w:tblW w:w="7521" w:type="dxa"/>
        <w:jc w:val="center"/>
        <w:tblInd w:w="0" w:type="dxa"/>
        <w:tblBorders/>
        <w:tblCellMar>
          <w:top w:w="30" w:type="dxa"/>
          <w:left w:w="30" w:type="dxa"/>
          <w:bottom w:w="30" w:type="dxa"/>
          <w:right w:w="30" w:type="dxa"/>
        </w:tblCellMar>
        <w:tblLook w:firstRow="0" w:noVBand="0" w:lastRow="0" w:firstColumn="0" w:lastColumn="0" w:noHBand="0" w:val="0000"/>
      </w:tblPr>
      <w:tblGrid>
        <w:gridCol w:w="570"/>
        <w:gridCol w:w="1593"/>
        <w:gridCol w:w="628"/>
        <w:gridCol w:w="1037"/>
        <w:gridCol w:w="1142"/>
        <w:gridCol w:w="651"/>
        <w:gridCol w:w="528"/>
        <w:gridCol w:w="881"/>
        <w:gridCol w:w="490"/>
      </w:tblGrid>
      <w:tr>
        <w:trPr>
          <w:tblHeader w:val="true"/>
          <w:trHeight w:val="206" w:hRule="atLeast"/>
          <w:cantSplit w:val="true"/>
        </w:trPr>
        <w:tc>
          <w:tcPr>
            <w:tcW w:w="7520" w:type="dxa"/>
            <w:gridSpan w:val="9"/>
            <w:tcBorders/>
            <w:shd w:color="auto" w:fill="FFFFFF" w:val="clear"/>
            <w:vAlign w:val="center"/>
          </w:tcPr>
          <w:p>
            <w:pPr>
              <w:pStyle w:val="Normal"/>
              <w:spacing w:lineRule="auto" w:line="240" w:before="0" w:after="0"/>
              <w:rPr>
                <w:color w:val="000000"/>
                <w:sz w:val="18"/>
                <w:szCs w:val="18"/>
              </w:rPr>
            </w:pPr>
            <w:r>
              <w:rPr>
                <w:b/>
                <w:bCs/>
                <w:color w:val="000000"/>
                <w:sz w:val="18"/>
                <w:szCs w:val="18"/>
              </w:rPr>
              <w:t>Coefficients</w:t>
            </w:r>
            <w:r>
              <w:rPr>
                <w:b/>
                <w:bCs/>
                <w:color w:val="000000"/>
                <w:sz w:val="18"/>
                <w:szCs w:val="18"/>
                <w:vertAlign w:val="superscript"/>
              </w:rPr>
              <w:t>a</w:t>
            </w:r>
          </w:p>
        </w:tc>
      </w:tr>
      <w:tr>
        <w:trPr>
          <w:tblHeader w:val="true"/>
          <w:trHeight w:val="425" w:hRule="atLeast"/>
          <w:cantSplit w:val="true"/>
        </w:trPr>
        <w:tc>
          <w:tcPr>
            <w:tcW w:w="2163" w:type="dxa"/>
            <w:gridSpan w:val="2"/>
            <w:vMerge w:val="restart"/>
            <w:tcBorders>
              <w:top w:val="single" w:sz="16" w:space="0" w:color="000001"/>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t>Model</w:t>
            </w:r>
          </w:p>
        </w:tc>
        <w:tc>
          <w:tcPr>
            <w:tcW w:w="1665" w:type="dxa"/>
            <w:gridSpan w:val="2"/>
            <w:tcBorders>
              <w:top w:val="single" w:sz="16" w:space="0" w:color="000001"/>
              <w:left w:val="single" w:sz="16" w:space="0" w:color="000001"/>
              <w:bottom w:val="single" w:sz="8" w:space="0" w:color="000001"/>
              <w:right w:val="single" w:sz="8" w:space="0" w:color="000001"/>
              <w:insideH w:val="single" w:sz="8" w:space="0" w:color="000001"/>
              <w:insideV w:val="single" w:sz="8"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t>Unstandardized Coefficients</w:t>
            </w:r>
          </w:p>
        </w:tc>
        <w:tc>
          <w:tcPr>
            <w:tcW w:w="1142" w:type="dxa"/>
            <w:tcBorders>
              <w:top w:val="single" w:sz="16"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Standardized Coefficients</w:t>
            </w:r>
          </w:p>
        </w:tc>
        <w:tc>
          <w:tcPr>
            <w:tcW w:w="651" w:type="dxa"/>
            <w:vMerge w:val="restart"/>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t</w:t>
            </w:r>
          </w:p>
        </w:tc>
        <w:tc>
          <w:tcPr>
            <w:tcW w:w="528" w:type="dxa"/>
            <w:vMerge w:val="restart"/>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Sig.</w:t>
            </w:r>
          </w:p>
        </w:tc>
        <w:tc>
          <w:tcPr>
            <w:tcW w:w="1371" w:type="dxa"/>
            <w:gridSpan w:val="2"/>
            <w:tcBorders>
              <w:top w:val="single" w:sz="16" w:space="0" w:color="000001"/>
              <w:left w:val="single" w:sz="8" w:space="0" w:color="000001"/>
              <w:bottom w:val="single" w:sz="8" w:space="0" w:color="000001"/>
              <w:right w:val="single" w:sz="16" w:space="0" w:color="000001"/>
              <w:insideH w:val="single" w:sz="8" w:space="0" w:color="000001"/>
              <w:insideV w:val="single" w:sz="16"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Collinearity Statistics</w:t>
            </w:r>
          </w:p>
        </w:tc>
      </w:tr>
      <w:tr>
        <w:trPr>
          <w:tblHeader w:val="true"/>
          <w:trHeight w:val="137" w:hRule="atLeast"/>
          <w:cantSplit w:val="true"/>
        </w:trPr>
        <w:tc>
          <w:tcPr>
            <w:tcW w:w="2163" w:type="dxa"/>
            <w:gridSpan w:val="2"/>
            <w:vMerge w:val="continue"/>
            <w:tcBorders>
              <w:top w:val="single" w:sz="16" w:space="0" w:color="000001"/>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r>
          </w:p>
        </w:tc>
        <w:tc>
          <w:tcPr>
            <w:tcW w:w="628" w:type="dxa"/>
            <w:tcBorders>
              <w:top w:val="single" w:sz="8" w:space="0" w:color="000001"/>
              <w:left w:val="single" w:sz="16" w:space="0" w:color="000001"/>
              <w:bottom w:val="single" w:sz="16" w:space="0" w:color="000001"/>
              <w:right w:val="single" w:sz="8" w:space="0" w:color="000001"/>
              <w:insideH w:val="single" w:sz="16" w:space="0" w:color="000001"/>
              <w:insideV w:val="single" w:sz="8"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t>B</w:t>
            </w:r>
          </w:p>
        </w:tc>
        <w:tc>
          <w:tcPr>
            <w:tcW w:w="1037" w:type="dxa"/>
            <w:tcBorders>
              <w:top w:val="single" w:sz="8"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Std. Error</w:t>
            </w:r>
          </w:p>
        </w:tc>
        <w:tc>
          <w:tcPr>
            <w:tcW w:w="1142" w:type="dxa"/>
            <w:tcBorders>
              <w:top w:val="single" w:sz="8"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Beta</w:t>
            </w:r>
          </w:p>
        </w:tc>
        <w:tc>
          <w:tcPr>
            <w:tcW w:w="651" w:type="dxa"/>
            <w:vMerge w:val="continue"/>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r>
          </w:p>
        </w:tc>
        <w:tc>
          <w:tcPr>
            <w:tcW w:w="528" w:type="dxa"/>
            <w:vMerge w:val="continue"/>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r>
          </w:p>
        </w:tc>
        <w:tc>
          <w:tcPr>
            <w:tcW w:w="881" w:type="dxa"/>
            <w:tcBorders>
              <w:top w:val="single" w:sz="8"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Tolerance</w:t>
            </w:r>
          </w:p>
        </w:tc>
        <w:tc>
          <w:tcPr>
            <w:tcW w:w="490" w:type="dxa"/>
            <w:tcBorders>
              <w:top w:val="single" w:sz="8" w:space="0" w:color="000001"/>
              <w:left w:val="single" w:sz="8" w:space="0" w:color="000001"/>
              <w:bottom w:val="single" w:sz="16" w:space="0" w:color="000001"/>
              <w:right w:val="single" w:sz="16" w:space="0" w:color="000001"/>
              <w:insideH w:val="single" w:sz="16" w:space="0" w:color="000001"/>
              <w:insideV w:val="single" w:sz="16"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VIF</w:t>
            </w:r>
          </w:p>
        </w:tc>
      </w:tr>
      <w:tr>
        <w:trPr>
          <w:tblHeader w:val="true"/>
          <w:trHeight w:val="296" w:hRule="atLeast"/>
          <w:cantSplit w:val="true"/>
        </w:trPr>
        <w:tc>
          <w:tcPr>
            <w:tcW w:w="570" w:type="dxa"/>
            <w:vMerge w:val="restart"/>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w:t>
            </w:r>
          </w:p>
        </w:tc>
        <w:tc>
          <w:tcPr>
            <w:tcW w:w="1593" w:type="dxa"/>
            <w:tcBorders>
              <w:top w:val="single" w:sz="16" w:space="0" w:color="000001"/>
              <w:right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(Constant)</w:t>
            </w:r>
          </w:p>
        </w:tc>
        <w:tc>
          <w:tcPr>
            <w:tcW w:w="628" w:type="dxa"/>
            <w:tcBorders>
              <w:top w:val="single" w:sz="16" w:space="0" w:color="000001"/>
              <w:left w:val="single" w:sz="16" w:space="0" w:color="000001"/>
              <w:right w:val="single" w:sz="8"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.748</w:t>
            </w:r>
          </w:p>
        </w:tc>
        <w:tc>
          <w:tcPr>
            <w:tcW w:w="1037" w:type="dxa"/>
            <w:tcBorders>
              <w:top w:val="single" w:sz="16" w:space="0" w:color="000001"/>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.395</w:t>
            </w:r>
          </w:p>
        </w:tc>
        <w:tc>
          <w:tcPr>
            <w:tcW w:w="1142" w:type="dxa"/>
            <w:tcBorders>
              <w:top w:val="single" w:sz="16" w:space="0" w:color="000001"/>
              <w:left w:val="single" w:sz="8" w:space="0" w:color="000001"/>
              <w:right w:val="single" w:sz="8" w:space="0" w:color="000001"/>
              <w:insideV w:val="single" w:sz="8" w:space="0" w:color="000001"/>
            </w:tcBorders>
            <w:shd w:color="auto" w:fill="FFFFFF" w:val="clear"/>
            <w:tcMar>
              <w:left w:w="20" w:type="dxa"/>
            </w:tcMar>
            <w:vAlign w:val="center"/>
          </w:tcPr>
          <w:p>
            <w:pPr>
              <w:pStyle w:val="Normal"/>
              <w:spacing w:lineRule="auto" w:line="240" w:before="0" w:after="0"/>
              <w:rPr/>
            </w:pPr>
            <w:r>
              <w:rPr/>
            </w:r>
          </w:p>
        </w:tc>
        <w:tc>
          <w:tcPr>
            <w:tcW w:w="651" w:type="dxa"/>
            <w:tcBorders>
              <w:top w:val="single" w:sz="16" w:space="0" w:color="000001"/>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1.891</w:t>
            </w:r>
          </w:p>
        </w:tc>
        <w:tc>
          <w:tcPr>
            <w:tcW w:w="528" w:type="dxa"/>
            <w:tcBorders>
              <w:top w:val="single" w:sz="16" w:space="0" w:color="000001"/>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.067</w:t>
            </w:r>
          </w:p>
        </w:tc>
        <w:tc>
          <w:tcPr>
            <w:tcW w:w="881" w:type="dxa"/>
            <w:tcBorders>
              <w:top w:val="single" w:sz="16" w:space="0" w:color="000001"/>
              <w:left w:val="single" w:sz="8" w:space="0" w:color="000001"/>
              <w:right w:val="single" w:sz="8" w:space="0" w:color="000001"/>
              <w:insideV w:val="single" w:sz="8" w:space="0" w:color="000001"/>
            </w:tcBorders>
            <w:shd w:color="auto" w:fill="FFFFFF" w:val="clear"/>
            <w:tcMar>
              <w:left w:w="20" w:type="dxa"/>
            </w:tcMar>
            <w:vAlign w:val="center"/>
          </w:tcPr>
          <w:p>
            <w:pPr>
              <w:pStyle w:val="Normal"/>
              <w:spacing w:lineRule="auto" w:line="240" w:before="0" w:after="0"/>
              <w:rPr/>
            </w:pPr>
            <w:r>
              <w:rPr/>
            </w:r>
          </w:p>
        </w:tc>
        <w:tc>
          <w:tcPr>
            <w:tcW w:w="490" w:type="dxa"/>
            <w:tcBorders>
              <w:top w:val="single" w:sz="16" w:space="0" w:color="000001"/>
              <w:left w:val="single" w:sz="8" w:space="0" w:color="000001"/>
              <w:right w:val="single" w:sz="16" w:space="0" w:color="000001"/>
              <w:insideV w:val="single" w:sz="16" w:space="0" w:color="000001"/>
            </w:tcBorders>
            <w:shd w:color="auto" w:fill="FFFFFF" w:val="clear"/>
            <w:tcMar>
              <w:left w:w="20" w:type="dxa"/>
            </w:tcMar>
            <w:vAlign w:val="center"/>
          </w:tcPr>
          <w:p>
            <w:pPr>
              <w:pStyle w:val="Normal"/>
              <w:spacing w:lineRule="auto" w:line="240" w:before="0" w:after="0"/>
              <w:rPr/>
            </w:pPr>
            <w:r>
              <w:rPr/>
            </w:r>
          </w:p>
        </w:tc>
      </w:tr>
      <w:tr>
        <w:trPr>
          <w:tblHeader w:val="true"/>
          <w:trHeight w:val="137" w:hRule="atLeast"/>
          <w:cantSplit w:val="true"/>
        </w:trPr>
        <w:tc>
          <w:tcPr>
            <w:tcW w:w="570" w:type="dxa"/>
            <w:vMerge w:val="continue"/>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pPr>
            <w:r>
              <w:rPr/>
            </w:r>
          </w:p>
        </w:tc>
        <w:tc>
          <w:tcPr>
            <w:tcW w:w="1593" w:type="dxa"/>
            <w:tcBorders>
              <w:right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LN_ROA</w:t>
            </w:r>
          </w:p>
        </w:tc>
        <w:tc>
          <w:tcPr>
            <w:tcW w:w="628" w:type="dxa"/>
            <w:tcBorders>
              <w:left w:val="single" w:sz="16" w:space="0" w:color="000001"/>
              <w:right w:val="single" w:sz="8"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-.425</w:t>
            </w:r>
          </w:p>
        </w:tc>
        <w:tc>
          <w:tcPr>
            <w:tcW w:w="1037"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.294</w:t>
            </w:r>
          </w:p>
        </w:tc>
        <w:tc>
          <w:tcPr>
            <w:tcW w:w="1142"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-.632</w:t>
            </w:r>
          </w:p>
        </w:tc>
        <w:tc>
          <w:tcPr>
            <w:tcW w:w="651"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-1.444</w:t>
            </w:r>
          </w:p>
        </w:tc>
        <w:tc>
          <w:tcPr>
            <w:tcW w:w="528"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.157</w:t>
            </w:r>
          </w:p>
        </w:tc>
        <w:tc>
          <w:tcPr>
            <w:tcW w:w="881"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.123</w:t>
            </w:r>
          </w:p>
        </w:tc>
        <w:tc>
          <w:tcPr>
            <w:tcW w:w="490" w:type="dxa"/>
            <w:tcBorders>
              <w:left w:val="single" w:sz="8" w:space="0" w:color="000001"/>
              <w:right w:val="single" w:sz="16" w:space="0" w:color="000001"/>
              <w:insideV w:val="single" w:sz="16"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8.111</w:t>
            </w:r>
          </w:p>
        </w:tc>
      </w:tr>
      <w:tr>
        <w:trPr>
          <w:tblHeader w:val="true"/>
          <w:trHeight w:val="137" w:hRule="atLeast"/>
          <w:cantSplit w:val="true"/>
        </w:trPr>
        <w:tc>
          <w:tcPr>
            <w:tcW w:w="570" w:type="dxa"/>
            <w:vMerge w:val="continue"/>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r>
          </w:p>
        </w:tc>
        <w:tc>
          <w:tcPr>
            <w:tcW w:w="1593" w:type="dxa"/>
            <w:tcBorders>
              <w:right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LN_DER</w:t>
            </w:r>
          </w:p>
        </w:tc>
        <w:tc>
          <w:tcPr>
            <w:tcW w:w="628" w:type="dxa"/>
            <w:tcBorders>
              <w:left w:val="single" w:sz="16" w:space="0" w:color="000001"/>
              <w:right w:val="single" w:sz="8"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.420</w:t>
            </w:r>
          </w:p>
        </w:tc>
        <w:tc>
          <w:tcPr>
            <w:tcW w:w="1037"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.325</w:t>
            </w:r>
          </w:p>
        </w:tc>
        <w:tc>
          <w:tcPr>
            <w:tcW w:w="1142"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.602</w:t>
            </w:r>
          </w:p>
        </w:tc>
        <w:tc>
          <w:tcPr>
            <w:tcW w:w="651"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1.292</w:t>
            </w:r>
          </w:p>
        </w:tc>
        <w:tc>
          <w:tcPr>
            <w:tcW w:w="528"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.205</w:t>
            </w:r>
          </w:p>
        </w:tc>
        <w:tc>
          <w:tcPr>
            <w:tcW w:w="881"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.109</w:t>
            </w:r>
          </w:p>
        </w:tc>
        <w:tc>
          <w:tcPr>
            <w:tcW w:w="490" w:type="dxa"/>
            <w:tcBorders>
              <w:left w:val="single" w:sz="8" w:space="0" w:color="000001"/>
              <w:right w:val="single" w:sz="16" w:space="0" w:color="000001"/>
              <w:insideV w:val="single" w:sz="16"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9.208</w:t>
            </w:r>
          </w:p>
        </w:tc>
      </w:tr>
      <w:tr>
        <w:trPr>
          <w:tblHeader w:val="true"/>
          <w:trHeight w:val="137" w:hRule="atLeast"/>
          <w:cantSplit w:val="true"/>
        </w:trPr>
        <w:tc>
          <w:tcPr>
            <w:tcW w:w="570" w:type="dxa"/>
            <w:vMerge w:val="continue"/>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r>
          </w:p>
        </w:tc>
        <w:tc>
          <w:tcPr>
            <w:tcW w:w="1593" w:type="dxa"/>
            <w:tcBorders>
              <w:right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LN_NPM</w:t>
            </w:r>
          </w:p>
        </w:tc>
        <w:tc>
          <w:tcPr>
            <w:tcW w:w="628" w:type="dxa"/>
            <w:tcBorders>
              <w:left w:val="single" w:sz="16" w:space="0" w:color="000001"/>
              <w:right w:val="single" w:sz="8"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-.198</w:t>
            </w:r>
          </w:p>
        </w:tc>
        <w:tc>
          <w:tcPr>
            <w:tcW w:w="1037"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.117</w:t>
            </w:r>
          </w:p>
        </w:tc>
        <w:tc>
          <w:tcPr>
            <w:tcW w:w="1142"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-.300</w:t>
            </w:r>
          </w:p>
        </w:tc>
        <w:tc>
          <w:tcPr>
            <w:tcW w:w="651"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-1.693</w:t>
            </w:r>
          </w:p>
        </w:tc>
        <w:tc>
          <w:tcPr>
            <w:tcW w:w="528"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.099</w:t>
            </w:r>
          </w:p>
        </w:tc>
        <w:tc>
          <w:tcPr>
            <w:tcW w:w="881"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.749</w:t>
            </w:r>
          </w:p>
        </w:tc>
        <w:tc>
          <w:tcPr>
            <w:tcW w:w="490" w:type="dxa"/>
            <w:tcBorders>
              <w:left w:val="single" w:sz="8" w:space="0" w:color="000001"/>
              <w:right w:val="single" w:sz="16" w:space="0" w:color="000001"/>
              <w:insideV w:val="single" w:sz="16"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1.335</w:t>
            </w:r>
          </w:p>
        </w:tc>
      </w:tr>
      <w:tr>
        <w:trPr>
          <w:tblHeader w:val="true"/>
          <w:trHeight w:val="137" w:hRule="atLeast"/>
          <w:cantSplit w:val="true"/>
        </w:trPr>
        <w:tc>
          <w:tcPr>
            <w:tcW w:w="570" w:type="dxa"/>
            <w:vMerge w:val="continue"/>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r>
          </w:p>
        </w:tc>
        <w:tc>
          <w:tcPr>
            <w:tcW w:w="1593" w:type="dxa"/>
            <w:tcBorders>
              <w:bottom w:val="single" w:sz="16" w:space="0" w:color="000001"/>
              <w:right w:val="single" w:sz="16" w:space="0" w:color="000001"/>
              <w:insideH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LN_INDEKS_ECKEL</w:t>
            </w:r>
          </w:p>
        </w:tc>
        <w:tc>
          <w:tcPr>
            <w:tcW w:w="628" w:type="dxa"/>
            <w:tcBorders>
              <w:left w:val="single" w:sz="16" w:space="0" w:color="000001"/>
              <w:bottom w:val="single" w:sz="16" w:space="0" w:color="000001"/>
              <w:right w:val="single" w:sz="8" w:space="0" w:color="000001"/>
              <w:insideH w:val="single" w:sz="16"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-.029</w:t>
            </w:r>
          </w:p>
        </w:tc>
        <w:tc>
          <w:tcPr>
            <w:tcW w:w="1037" w:type="dxa"/>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.096</w:t>
            </w:r>
          </w:p>
        </w:tc>
        <w:tc>
          <w:tcPr>
            <w:tcW w:w="1142" w:type="dxa"/>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-.053</w:t>
            </w:r>
          </w:p>
        </w:tc>
        <w:tc>
          <w:tcPr>
            <w:tcW w:w="651" w:type="dxa"/>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-.303</w:t>
            </w:r>
          </w:p>
        </w:tc>
        <w:tc>
          <w:tcPr>
            <w:tcW w:w="528" w:type="dxa"/>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.764</w:t>
            </w:r>
          </w:p>
        </w:tc>
        <w:tc>
          <w:tcPr>
            <w:tcW w:w="881" w:type="dxa"/>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.776</w:t>
            </w:r>
          </w:p>
        </w:tc>
        <w:tc>
          <w:tcPr>
            <w:tcW w:w="490" w:type="dxa"/>
            <w:tcBorders>
              <w:left w:val="single" w:sz="8" w:space="0" w:color="000001"/>
              <w:bottom w:val="single" w:sz="16" w:space="0" w:color="000001"/>
              <w:right w:val="single" w:sz="16" w:space="0" w:color="000001"/>
              <w:insideH w:val="single" w:sz="16" w:space="0" w:color="000001"/>
              <w:insideV w:val="single" w:sz="16"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1.288</w:t>
            </w:r>
          </w:p>
        </w:tc>
      </w:tr>
      <w:tr>
        <w:trPr>
          <w:trHeight w:val="206" w:hRule="atLeast"/>
          <w:cantSplit w:val="true"/>
        </w:trPr>
        <w:tc>
          <w:tcPr>
            <w:tcW w:w="7520" w:type="dxa"/>
            <w:gridSpan w:val="9"/>
            <w:tcBorders/>
            <w:shd w:color="auto" w:fill="FFFFFF" w:val="clear"/>
          </w:tcPr>
          <w:p>
            <w:pPr>
              <w:pStyle w:val="Normal"/>
              <w:spacing w:lineRule="auto" w:line="240" w:before="0" w:after="0"/>
              <w:rPr>
                <w:sz w:val="18"/>
                <w:szCs w:val="18"/>
              </w:rPr>
            </w:pPr>
            <w:r>
              <w:rPr>
                <w:sz w:val="18"/>
                <w:szCs w:val="18"/>
              </w:rPr>
              <w:t>Dependent Variable: ABE_RES</w:t>
            </w:r>
          </w:p>
          <w:p>
            <w:pPr>
              <w:pStyle w:val="NoSpacing1"/>
              <w:spacing w:lineRule="auto" w:line="240" w:before="0" w:after="200"/>
              <w:contextualSpacing/>
              <w:rPr>
                <w:rFonts w:ascii="Times New Roman" w:hAnsi="Times New Roman"/>
                <w:i/>
                <w:i/>
                <w:sz w:val="24"/>
                <w:szCs w:val="24"/>
              </w:rPr>
            </w:pPr>
            <w:r>
              <w:rPr>
                <w:rFonts w:ascii="Times New Roman" w:hAnsi="Times New Roman"/>
                <w:i/>
                <w:sz w:val="24"/>
                <w:szCs w:val="24"/>
                <w:lang w:val="id-ID"/>
              </w:rPr>
              <w:t>Sumber : Pengolahan dilakukan dengan SPSS 20</w:t>
            </w:r>
          </w:p>
          <w:p>
            <w:pPr>
              <w:pStyle w:val="Normal"/>
              <w:spacing w:lineRule="auto" w:line="240" w:before="0" w:after="0"/>
              <w:rPr>
                <w:sz w:val="18"/>
                <w:szCs w:val="18"/>
              </w:rPr>
            </w:pPr>
            <w:r>
              <w:rPr>
                <w:sz w:val="18"/>
                <w:szCs w:val="18"/>
              </w:rPr>
            </w:r>
          </w:p>
        </w:tc>
      </w:tr>
    </w:tbl>
    <w:p>
      <w:pPr>
        <w:pStyle w:val="Normal"/>
        <w:spacing w:lineRule="auto" w:line="360"/>
        <w:rPr>
          <w:rFonts w:ascii="Times New Roman" w:hAnsi="Times New Roman" w:cs="Times New Roman"/>
          <w:bCs/>
          <w:sz w:val="24"/>
          <w:szCs w:val="24"/>
        </w:rPr>
      </w:pPr>
      <w:r>
        <w:rPr>
          <w:rFonts w:cs="Times New Roman" w:ascii="Times New Roman" w:hAnsi="Times New Roman"/>
          <w:bCs/>
          <w:sz w:val="24"/>
          <w:szCs w:val="24"/>
        </w:rPr>
      </w:r>
    </w:p>
    <w:p>
      <w:pPr>
        <w:pStyle w:val="Normal"/>
        <w:spacing w:lineRule="auto" w:line="360"/>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Hasil uji heterokedastisitas menunjukkan sig diatas 0.05 maka tidak terjadi heterokedastisitas. Maka data dapat diteruskan untuk pengujian selanjutnya.</w:t>
      </w:r>
    </w:p>
    <w:tbl>
      <w:tblPr>
        <w:tblW w:w="7503" w:type="dxa"/>
        <w:jc w:val="center"/>
        <w:tblInd w:w="0" w:type="dxa"/>
        <w:tblBorders/>
        <w:tblCellMar>
          <w:top w:w="30" w:type="dxa"/>
          <w:left w:w="30" w:type="dxa"/>
          <w:bottom w:w="30" w:type="dxa"/>
          <w:right w:w="30" w:type="dxa"/>
        </w:tblCellMar>
        <w:tblLook w:firstRow="0" w:noVBand="0" w:lastRow="0" w:firstColumn="0" w:lastColumn="0" w:noHBand="0" w:val="0000"/>
      </w:tblPr>
      <w:tblGrid>
        <w:gridCol w:w="760"/>
        <w:gridCol w:w="1054"/>
        <w:gridCol w:w="1125"/>
        <w:gridCol w:w="1521"/>
        <w:gridCol w:w="1521"/>
        <w:gridCol w:w="1521"/>
      </w:tblGrid>
      <w:tr>
        <w:trPr>
          <w:tblHeader w:val="true"/>
          <w:cantSplit w:val="true"/>
        </w:trPr>
        <w:tc>
          <w:tcPr>
            <w:tcW w:w="7502" w:type="dxa"/>
            <w:gridSpan w:val="6"/>
            <w:tcBorders/>
            <w:shd w:color="auto" w:fill="FFFFFF" w:val="clear"/>
            <w:vAlign w:val="center"/>
          </w:tcPr>
          <w:p>
            <w:pPr>
              <w:pStyle w:val="Normal"/>
              <w:spacing w:lineRule="auto" w:line="240" w:before="0" w:after="0"/>
              <w:jc w:val="center"/>
              <w:rPr>
                <w:b/>
                <w:b/>
                <w:bCs/>
                <w:color w:val="000000"/>
              </w:rPr>
            </w:pPr>
            <w:r>
              <w:rPr>
                <w:b/>
                <w:bCs/>
                <w:color w:val="000000"/>
              </w:rPr>
              <w:t>Tabel 4</w:t>
            </w:r>
          </w:p>
          <w:p>
            <w:pPr>
              <w:pStyle w:val="Normal"/>
              <w:spacing w:lineRule="auto" w:line="240" w:before="0" w:after="0"/>
              <w:jc w:val="center"/>
              <w:rPr>
                <w:b/>
                <w:b/>
                <w:bCs/>
                <w:color w:val="000000"/>
              </w:rPr>
            </w:pPr>
            <w:r>
              <w:rPr>
                <w:b/>
                <w:bCs/>
                <w:color w:val="000000"/>
              </w:rPr>
              <w:t>Hasil Uji Autokorelasi</w:t>
            </w:r>
          </w:p>
          <w:p>
            <w:pPr>
              <w:pStyle w:val="Normal"/>
              <w:spacing w:lineRule="auto" w:line="240" w:before="0" w:after="0"/>
              <w:rPr>
                <w:color w:val="000000"/>
                <w:sz w:val="18"/>
                <w:szCs w:val="18"/>
              </w:rPr>
            </w:pPr>
            <w:r>
              <w:rPr>
                <w:color w:val="000000"/>
                <w:sz w:val="18"/>
                <w:szCs w:val="18"/>
              </w:rPr>
            </w:r>
          </w:p>
        </w:tc>
      </w:tr>
      <w:tr>
        <w:trPr>
          <w:tblHeader w:val="true"/>
          <w:cantSplit w:val="true"/>
        </w:trPr>
        <w:tc>
          <w:tcPr>
            <w:tcW w:w="760" w:type="dxa"/>
            <w:tcBorders>
              <w:top w:val="single" w:sz="16" w:space="0" w:color="000001"/>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t>Model</w:t>
            </w:r>
          </w:p>
        </w:tc>
        <w:tc>
          <w:tcPr>
            <w:tcW w:w="1054" w:type="dxa"/>
            <w:tcBorders>
              <w:top w:val="single" w:sz="16" w:space="0" w:color="000001"/>
              <w:left w:val="single" w:sz="16" w:space="0" w:color="000001"/>
              <w:bottom w:val="single" w:sz="16" w:space="0" w:color="000001"/>
              <w:right w:val="single" w:sz="8" w:space="0" w:color="000001"/>
              <w:insideH w:val="single" w:sz="16" w:space="0" w:color="000001"/>
              <w:insideV w:val="single" w:sz="8"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t>R</w:t>
            </w:r>
          </w:p>
        </w:tc>
        <w:tc>
          <w:tcPr>
            <w:tcW w:w="1125"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R Square</w:t>
            </w:r>
          </w:p>
        </w:tc>
        <w:tc>
          <w:tcPr>
            <w:tcW w:w="1521"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Adjusted R Square</w:t>
            </w:r>
          </w:p>
        </w:tc>
        <w:tc>
          <w:tcPr>
            <w:tcW w:w="1521"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Std. Error of the Estimate</w:t>
            </w:r>
          </w:p>
        </w:tc>
        <w:tc>
          <w:tcPr>
            <w:tcW w:w="1521" w:type="dxa"/>
            <w:tcBorders>
              <w:top w:val="single" w:sz="16" w:space="0" w:color="000001"/>
              <w:left w:val="single" w:sz="8" w:space="0" w:color="000001"/>
              <w:bottom w:val="single" w:sz="16" w:space="0" w:color="000001"/>
              <w:right w:val="single" w:sz="16" w:space="0" w:color="000001"/>
              <w:insideH w:val="single" w:sz="16" w:space="0" w:color="000001"/>
              <w:insideV w:val="single" w:sz="16"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Durbin-Watson</w:t>
            </w:r>
          </w:p>
        </w:tc>
      </w:tr>
      <w:tr>
        <w:trPr>
          <w:tblHeader w:val="true"/>
          <w:cantSplit w:val="true"/>
        </w:trPr>
        <w:tc>
          <w:tcPr>
            <w:tcW w:w="760" w:type="dxa"/>
            <w:tcBorders>
              <w:top w:val="single" w:sz="16" w:space="0" w:color="000001"/>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w:t>
            </w:r>
          </w:p>
        </w:tc>
        <w:tc>
          <w:tcPr>
            <w:tcW w:w="1054" w:type="dxa"/>
            <w:tcBorders>
              <w:top w:val="single" w:sz="16" w:space="0" w:color="000001"/>
              <w:left w:val="single" w:sz="16" w:space="0" w:color="000001"/>
              <w:bottom w:val="single" w:sz="16" w:space="0" w:color="000001"/>
              <w:right w:val="single" w:sz="8" w:space="0" w:color="000001"/>
              <w:insideH w:val="single" w:sz="16"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.495</w:t>
            </w:r>
            <w:r>
              <w:rPr>
                <w:color w:val="000000"/>
                <w:sz w:val="18"/>
                <w:szCs w:val="18"/>
                <w:vertAlign w:val="superscript"/>
              </w:rPr>
              <w:t>a</w:t>
            </w:r>
          </w:p>
        </w:tc>
        <w:tc>
          <w:tcPr>
            <w:tcW w:w="1125"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.245</w:t>
            </w:r>
          </w:p>
        </w:tc>
        <w:tc>
          <w:tcPr>
            <w:tcW w:w="1521"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.161</w:t>
            </w:r>
          </w:p>
        </w:tc>
        <w:tc>
          <w:tcPr>
            <w:tcW w:w="1521"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1.30052</w:t>
            </w:r>
          </w:p>
        </w:tc>
        <w:tc>
          <w:tcPr>
            <w:tcW w:w="1521" w:type="dxa"/>
            <w:tcBorders>
              <w:top w:val="single" w:sz="16" w:space="0" w:color="000001"/>
              <w:left w:val="single" w:sz="8" w:space="0" w:color="000001"/>
              <w:bottom w:val="single" w:sz="16" w:space="0" w:color="000001"/>
              <w:right w:val="single" w:sz="16" w:space="0" w:color="000001"/>
              <w:insideH w:val="single" w:sz="16" w:space="0" w:color="000001"/>
              <w:insideV w:val="single" w:sz="16"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1.675</w:t>
            </w:r>
          </w:p>
        </w:tc>
      </w:tr>
      <w:tr>
        <w:trPr>
          <w:tblHeader w:val="true"/>
          <w:cantSplit w:val="true"/>
        </w:trPr>
        <w:tc>
          <w:tcPr>
            <w:tcW w:w="7502" w:type="dxa"/>
            <w:gridSpan w:val="6"/>
            <w:tcBorders/>
            <w:shd w:color="auto" w:fill="FFFFFF" w:val="clear"/>
          </w:tcPr>
          <w:p>
            <w:pPr>
              <w:pStyle w:val="Normal"/>
              <w:spacing w:lineRule="auto" w:line="240" w:before="0" w:after="0"/>
              <w:rPr>
                <w:color w:val="000000"/>
                <w:sz w:val="18"/>
                <w:szCs w:val="18"/>
              </w:rPr>
            </w:pPr>
            <w:r>
              <w:rPr>
                <w:color w:val="000000"/>
                <w:sz w:val="18"/>
                <w:szCs w:val="18"/>
              </w:rPr>
              <w:t>a. Predictors: (Constant), LN_INDEKS_ECKEL, LN_NPM, LN_ROE, LN_DER</w:t>
            </w:r>
          </w:p>
        </w:tc>
      </w:tr>
      <w:tr>
        <w:trPr>
          <w:cantSplit w:val="true"/>
        </w:trPr>
        <w:tc>
          <w:tcPr>
            <w:tcW w:w="7502" w:type="dxa"/>
            <w:gridSpan w:val="6"/>
            <w:tcBorders/>
            <w:shd w:color="auto" w:fill="FFFFFF" w:val="clear"/>
          </w:tcPr>
          <w:p>
            <w:pPr>
              <w:pStyle w:val="Normal"/>
              <w:spacing w:lineRule="auto" w:line="240" w:before="0" w:after="0"/>
              <w:rPr>
                <w:color w:val="000000"/>
                <w:sz w:val="18"/>
                <w:szCs w:val="18"/>
              </w:rPr>
            </w:pPr>
            <w:r>
              <w:rPr>
                <w:color w:val="000000"/>
                <w:sz w:val="18"/>
                <w:szCs w:val="18"/>
              </w:rPr>
              <w:t>b. Dependent Variable: LN_RETURN</w:t>
            </w:r>
          </w:p>
          <w:p>
            <w:pPr>
              <w:pStyle w:val="NoSpacing1"/>
              <w:spacing w:lineRule="auto" w:line="240" w:before="0" w:after="200"/>
              <w:contextualSpacing/>
              <w:rPr>
                <w:rFonts w:ascii="Times New Roman" w:hAnsi="Times New Roman"/>
                <w:i/>
                <w:i/>
                <w:sz w:val="24"/>
                <w:szCs w:val="24"/>
              </w:rPr>
            </w:pPr>
            <w:r>
              <w:rPr>
                <w:rFonts w:ascii="Times New Roman" w:hAnsi="Times New Roman"/>
                <w:i/>
                <w:sz w:val="24"/>
                <w:szCs w:val="24"/>
                <w:lang w:val="id-ID"/>
              </w:rPr>
              <w:t>Sumber : Pengolahan dilakukan dengan SPSS 20</w:t>
            </w:r>
          </w:p>
        </w:tc>
      </w:tr>
    </w:tbl>
    <w:p>
      <w:pPr>
        <w:pStyle w:val="Normal"/>
        <w:spacing w:lineRule="auto" w:line="360"/>
        <w:rPr/>
      </w:pPr>
      <w:r>
        <w:rPr/>
      </w:r>
    </w:p>
    <w:p>
      <w:pPr>
        <w:pStyle w:val="ListParagraph"/>
        <w:spacing w:lineRule="auto" w:line="360"/>
        <w:ind w:left="0" w:firstLine="720"/>
        <w:jc w:val="both"/>
        <w:rPr>
          <w:rFonts w:cs="Times New Roman"/>
        </w:rPr>
      </w:pPr>
      <w:r>
        <w:rPr>
          <w:rFonts w:eastAsia="Calibri"/>
          <w:lang w:eastAsia="zh-CN"/>
        </w:rPr>
        <w:t xml:space="preserve">Uji autokorelasi adalah uji yang dilakukan untuk menguji korelasi antar nilai residual yang ada dalam model regresi. </w:t>
      </w:r>
      <w:r>
        <w:rPr/>
        <w:t xml:space="preserve">Uji Autokorelasi dapat dilakukan dengan  melakukan uji Durbin Watson. </w:t>
      </w:r>
      <w:r>
        <w:rPr>
          <w:rFonts w:eastAsia="Calibri"/>
        </w:rPr>
        <w:t xml:space="preserve">nilai Durbin-Watson harus terletak diantara du(1.4554) dan 4-du (1.7288) maka </w:t>
      </w:r>
      <w:r>
        <w:rPr>
          <w:rFonts w:cs="Times New Roman"/>
        </w:rPr>
        <w:t xml:space="preserve">tidak terdapat autokorelasi pada model. Dari uji yang dilakukan didapat nilai 1.675 maka tidak terdapat autokorelasi pada model.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 </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PENGUJIAN MODEL</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Koefisien Determinasi</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Koefisien Determinasi menjelaskan besar kontribusi yang diberikan masing-masing variabel  bebas terhadap variabel terikatnya. Untuk mengetahui besarnya koefisien determinasi variabel – variabel bebas dalam sebuah model regresi dapat dilakukan dengan melihat nilai R square yang terdapat pada tabel Model summary. Berikut ini adalah tabel model summary hasil analisis regresi :</w:t>
      </w:r>
    </w:p>
    <w:p>
      <w:pPr>
        <w:pStyle w:val="Normal"/>
        <w:spacing w:lineRule="auto" w:line="240" w:before="0" w:after="0"/>
        <w:ind w:left="3600" w:firstLine="720"/>
        <w:rPr>
          <w:rFonts w:ascii="Times New Roman" w:hAnsi="Times New Roman" w:cs="Times New Roman"/>
          <w:b/>
          <w:b/>
        </w:rPr>
      </w:pPr>
      <w:r>
        <w:rPr>
          <w:rFonts w:cs="Times New Roman" w:ascii="Times New Roman" w:hAnsi="Times New Roman"/>
          <w:b/>
        </w:rPr>
        <w:t>Tabel 5</w:t>
      </w:r>
    </w:p>
    <w:p>
      <w:pPr>
        <w:pStyle w:val="Normal"/>
        <w:spacing w:lineRule="auto" w:line="240" w:before="0" w:after="0"/>
        <w:ind w:left="3600" w:hanging="0"/>
        <w:rPr>
          <w:rFonts w:ascii="Times New Roman" w:hAnsi="Times New Roman" w:cs="Times New Roman"/>
          <w:b/>
          <w:b/>
        </w:rPr>
      </w:pPr>
      <w:r>
        <w:rPr>
          <w:rFonts w:cs="Times New Roman" w:ascii="Times New Roman" w:hAnsi="Times New Roman"/>
          <w:b/>
        </w:rPr>
        <w:t>Koefisien Determinasi</w:t>
      </w:r>
    </w:p>
    <w:tbl>
      <w:tblPr>
        <w:tblW w:w="6928" w:type="dxa"/>
        <w:jc w:val="center"/>
        <w:tblInd w:w="0" w:type="dxa"/>
        <w:tblBorders/>
        <w:tblCellMar>
          <w:top w:w="30" w:type="dxa"/>
          <w:left w:w="30" w:type="dxa"/>
          <w:bottom w:w="30" w:type="dxa"/>
          <w:right w:w="30" w:type="dxa"/>
        </w:tblCellMar>
        <w:tblLook w:firstRow="0" w:noVBand="0" w:lastRow="0" w:firstColumn="0" w:lastColumn="0" w:noHBand="0" w:val="0000"/>
      </w:tblPr>
      <w:tblGrid>
        <w:gridCol w:w="701"/>
        <w:gridCol w:w="975"/>
        <w:gridCol w:w="1039"/>
        <w:gridCol w:w="1405"/>
        <w:gridCol w:w="1404"/>
        <w:gridCol w:w="1403"/>
      </w:tblGrid>
      <w:tr>
        <w:trPr>
          <w:tblHeader w:val="true"/>
          <w:trHeight w:val="304" w:hRule="atLeast"/>
          <w:cantSplit w:val="true"/>
        </w:trPr>
        <w:tc>
          <w:tcPr>
            <w:tcW w:w="6927" w:type="dxa"/>
            <w:gridSpan w:val="6"/>
            <w:tcBorders/>
            <w:shd w:color="auto" w:fill="FFFFFF" w:val="clear"/>
            <w:vAlign w:val="center"/>
          </w:tcPr>
          <w:p>
            <w:pPr>
              <w:pStyle w:val="Normal"/>
              <w:spacing w:lineRule="auto" w:line="240" w:before="0" w:after="0"/>
              <w:rPr>
                <w:rFonts w:ascii="Times New Roman" w:hAnsi="Times New Roman" w:cs="Times New Roman"/>
                <w:color w:val="000000"/>
              </w:rPr>
            </w:pPr>
            <w:r>
              <w:rPr>
                <w:rFonts w:cs="Times New Roman" w:ascii="Times New Roman" w:hAnsi="Times New Roman"/>
                <w:b/>
                <w:bCs/>
                <w:color w:val="000000"/>
              </w:rPr>
              <w:t>Model Summary</w:t>
            </w:r>
            <w:r>
              <w:rPr>
                <w:rFonts w:cs="Times New Roman" w:ascii="Times New Roman" w:hAnsi="Times New Roman"/>
                <w:b/>
                <w:bCs/>
                <w:color w:val="000000"/>
                <w:vertAlign w:val="superscript"/>
              </w:rPr>
              <w:t>b</w:t>
            </w:r>
          </w:p>
        </w:tc>
      </w:tr>
      <w:tr>
        <w:trPr>
          <w:tblHeader w:val="true"/>
          <w:trHeight w:val="596" w:hRule="atLeast"/>
          <w:cantSplit w:val="true"/>
        </w:trPr>
        <w:tc>
          <w:tcPr>
            <w:tcW w:w="701" w:type="dxa"/>
            <w:tcBorders>
              <w:top w:val="single" w:sz="16" w:space="0" w:color="000001"/>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vAlign w:val="bottom"/>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t>Model</w:t>
            </w:r>
          </w:p>
        </w:tc>
        <w:tc>
          <w:tcPr>
            <w:tcW w:w="975" w:type="dxa"/>
            <w:tcBorders>
              <w:top w:val="single" w:sz="16" w:space="0" w:color="000001"/>
              <w:left w:val="single" w:sz="16" w:space="0" w:color="000001"/>
              <w:bottom w:val="single" w:sz="16" w:space="0" w:color="000001"/>
              <w:right w:val="single" w:sz="8" w:space="0" w:color="000001"/>
              <w:insideH w:val="single" w:sz="16" w:space="0" w:color="000001"/>
              <w:insideV w:val="single" w:sz="8" w:space="0" w:color="000001"/>
            </w:tcBorders>
            <w:shd w:color="auto" w:fill="FFFFFF" w:val="clear"/>
            <w:tcMar>
              <w:left w:w="10" w:type="dxa"/>
            </w:tcMar>
            <w:vAlign w:val="bottom"/>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t>R</w:t>
            </w:r>
          </w:p>
        </w:tc>
        <w:tc>
          <w:tcPr>
            <w:tcW w:w="1039"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t>R Square</w:t>
            </w:r>
          </w:p>
        </w:tc>
        <w:tc>
          <w:tcPr>
            <w:tcW w:w="1405"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t>Adjusted R Square</w:t>
            </w:r>
          </w:p>
        </w:tc>
        <w:tc>
          <w:tcPr>
            <w:tcW w:w="1404"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t>Std. Error of the Estimate</w:t>
            </w:r>
          </w:p>
        </w:tc>
        <w:tc>
          <w:tcPr>
            <w:tcW w:w="1403" w:type="dxa"/>
            <w:tcBorders>
              <w:top w:val="single" w:sz="16" w:space="0" w:color="000001"/>
              <w:left w:val="single" w:sz="8" w:space="0" w:color="000001"/>
              <w:bottom w:val="single" w:sz="16" w:space="0" w:color="000001"/>
              <w:right w:val="single" w:sz="16" w:space="0" w:color="000001"/>
              <w:insideH w:val="single" w:sz="16" w:space="0" w:color="000001"/>
              <w:insideV w:val="single" w:sz="16" w:space="0" w:color="000001"/>
            </w:tcBorders>
            <w:shd w:color="auto" w:fill="FFFFFF" w:val="clear"/>
            <w:tcMar>
              <w:left w:w="20" w:type="dxa"/>
            </w:tcMar>
            <w:vAlign w:val="bottom"/>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t>Durbin-Watson</w:t>
            </w:r>
          </w:p>
        </w:tc>
      </w:tr>
      <w:tr>
        <w:trPr>
          <w:tblHeader w:val="true"/>
          <w:trHeight w:val="292" w:hRule="atLeast"/>
          <w:cantSplit w:val="true"/>
        </w:trPr>
        <w:tc>
          <w:tcPr>
            <w:tcW w:w="701" w:type="dxa"/>
            <w:tcBorders>
              <w:top w:val="single" w:sz="16" w:space="0" w:color="000001"/>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t>1</w:t>
            </w:r>
          </w:p>
        </w:tc>
        <w:tc>
          <w:tcPr>
            <w:tcW w:w="975" w:type="dxa"/>
            <w:tcBorders>
              <w:top w:val="single" w:sz="16" w:space="0" w:color="000001"/>
              <w:left w:val="single" w:sz="16" w:space="0" w:color="000001"/>
              <w:bottom w:val="single" w:sz="16" w:space="0" w:color="000001"/>
              <w:right w:val="single" w:sz="8" w:space="0" w:color="000001"/>
              <w:insideH w:val="single" w:sz="16" w:space="0" w:color="000001"/>
              <w:insideV w:val="single" w:sz="8" w:space="0" w:color="000001"/>
            </w:tcBorders>
            <w:shd w:color="auto" w:fill="FFFFFF" w:val="clear"/>
            <w:tcMar>
              <w:left w:w="10" w:type="dxa"/>
            </w:tcMar>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t>.495</w:t>
            </w:r>
            <w:r>
              <w:rPr>
                <w:rFonts w:cs="Times New Roman" w:ascii="Times New Roman" w:hAnsi="Times New Roman"/>
                <w:color w:val="000000"/>
                <w:vertAlign w:val="superscript"/>
              </w:rPr>
              <w:t>a</w:t>
            </w:r>
          </w:p>
        </w:tc>
        <w:tc>
          <w:tcPr>
            <w:tcW w:w="1039"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t>.245</w:t>
            </w:r>
          </w:p>
        </w:tc>
        <w:tc>
          <w:tcPr>
            <w:tcW w:w="1405"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t>.161</w:t>
            </w:r>
          </w:p>
        </w:tc>
        <w:tc>
          <w:tcPr>
            <w:tcW w:w="1404"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t>1.30052</w:t>
            </w:r>
          </w:p>
        </w:tc>
        <w:tc>
          <w:tcPr>
            <w:tcW w:w="1403" w:type="dxa"/>
            <w:tcBorders>
              <w:top w:val="single" w:sz="16" w:space="0" w:color="000001"/>
              <w:left w:val="single" w:sz="8" w:space="0" w:color="000001"/>
              <w:bottom w:val="single" w:sz="16" w:space="0" w:color="000001"/>
              <w:right w:val="single" w:sz="16" w:space="0" w:color="000001"/>
              <w:insideH w:val="single" w:sz="16" w:space="0" w:color="000001"/>
              <w:insideV w:val="single" w:sz="16" w:space="0" w:color="000001"/>
            </w:tcBorders>
            <w:shd w:color="auto" w:fill="FFFFFF" w:val="clear"/>
            <w:tcMar>
              <w:left w:w="20" w:type="dxa"/>
            </w:tcMar>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t>1.675</w:t>
            </w:r>
          </w:p>
        </w:tc>
      </w:tr>
      <w:tr>
        <w:trPr>
          <w:tblHeader w:val="true"/>
          <w:trHeight w:val="887" w:hRule="atLeast"/>
          <w:cantSplit w:val="true"/>
        </w:trPr>
        <w:tc>
          <w:tcPr>
            <w:tcW w:w="6927" w:type="dxa"/>
            <w:gridSpan w:val="6"/>
            <w:tcBorders/>
            <w:shd w:color="auto" w:fill="FFFFFF" w:val="clear"/>
          </w:tcPr>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t>a. Predictors: (Constant), LN_INDEKS_ECKEL, LN_NPM, LN_ROE, LN_DER</w:t>
            </w:r>
          </w:p>
          <w:p>
            <w:pPr>
              <w:pStyle w:val="Normal"/>
              <w:spacing w:lineRule="auto" w:line="240" w:before="0" w:after="0"/>
              <w:rPr>
                <w:rFonts w:ascii="Times New Roman" w:hAnsi="Times New Roman" w:cs="Times New Roman"/>
                <w:color w:val="000000"/>
              </w:rPr>
            </w:pPr>
            <w:r>
              <w:rPr>
                <w:rFonts w:cs="Times New Roman" w:ascii="Times New Roman" w:hAnsi="Times New Roman"/>
                <w:color w:val="000000"/>
              </w:rPr>
              <w:t>b. Dependent Variable: LN_RETURN</w:t>
            </w:r>
          </w:p>
          <w:p>
            <w:pPr>
              <w:pStyle w:val="Normal"/>
              <w:spacing w:lineRule="auto" w:line="240" w:before="0" w:after="0"/>
              <w:rPr>
                <w:rFonts w:ascii="Times New Roman" w:hAnsi="Times New Roman" w:cs="Times New Roman"/>
                <w:color w:val="000000"/>
              </w:rPr>
            </w:pPr>
            <w:r>
              <w:rPr>
                <w:rFonts w:cs="Times New Roman" w:ascii="Times New Roman" w:hAnsi="Times New Roman"/>
                <w:i/>
                <w:lang w:val="id-ID"/>
              </w:rPr>
              <w:t>Sumber : Pengolahan dilakukan dengan SPSS 20</w:t>
            </w:r>
          </w:p>
        </w:tc>
      </w:tr>
    </w:tbl>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Berdasarkan tabel di atas, diperoleh nilai adjusted R Square (koefisien determinasi) sebesar 0,161, hal ini berarti besar pengaruh simultan variabel ROA, NPM, DER dan Indeks Eckel terhadap </w:t>
      </w:r>
      <w:r>
        <w:rPr>
          <w:rFonts w:cs="Times New Roman" w:ascii="Times New Roman" w:hAnsi="Times New Roman"/>
          <w:i/>
          <w:sz w:val="24"/>
          <w:szCs w:val="24"/>
        </w:rPr>
        <w:t>return</w:t>
      </w:r>
      <w:r>
        <w:rPr>
          <w:rFonts w:cs="Times New Roman" w:ascii="Times New Roman" w:hAnsi="Times New Roman"/>
          <w:sz w:val="24"/>
          <w:szCs w:val="24"/>
        </w:rPr>
        <w:t xml:space="preserve"> saham adalah sebesar 16.1%, sedangkan sisanya sebanyak 83.9% </w:t>
      </w:r>
      <w:r>
        <w:rPr>
          <w:rFonts w:cs="Times New Roman" w:ascii="Times New Roman" w:hAnsi="Times New Roman"/>
          <w:i/>
          <w:sz w:val="24"/>
          <w:szCs w:val="24"/>
        </w:rPr>
        <w:t>return</w:t>
      </w:r>
      <w:r>
        <w:rPr>
          <w:rFonts w:cs="Times New Roman" w:ascii="Times New Roman" w:hAnsi="Times New Roman"/>
          <w:sz w:val="24"/>
          <w:szCs w:val="24"/>
        </w:rPr>
        <w:t xml:space="preserve"> saham dipengaruhi oleh faktor lain di luar variabel ROA, NPM, DER dan Indeks Eckel.</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UJI T</w:t>
      </w:r>
    </w:p>
    <w:p>
      <w:pPr>
        <w:pStyle w:val="Normal"/>
        <w:spacing w:lineRule="auto" w:line="240" w:before="0" w:after="0"/>
        <w:jc w:val="center"/>
        <w:rPr>
          <w:b/>
          <w:b/>
        </w:rPr>
      </w:pPr>
      <w:r>
        <w:rPr>
          <w:b/>
        </w:rPr>
        <w:t xml:space="preserve">Tabel 6 </w:t>
      </w:r>
    </w:p>
    <w:p>
      <w:pPr>
        <w:pStyle w:val="Normal"/>
        <w:spacing w:lineRule="auto" w:line="240" w:before="0" w:after="0"/>
        <w:jc w:val="center"/>
        <w:rPr>
          <w:b/>
          <w:b/>
        </w:rPr>
      </w:pPr>
      <w:r>
        <w:rPr>
          <w:b/>
        </w:rPr>
        <w:t>Hasil Uji t</w:t>
      </w:r>
    </w:p>
    <w:tbl>
      <w:tblPr>
        <w:tblW w:w="7602" w:type="dxa"/>
        <w:jc w:val="center"/>
        <w:tblInd w:w="0" w:type="dxa"/>
        <w:tblBorders/>
        <w:tblCellMar>
          <w:top w:w="30" w:type="dxa"/>
          <w:left w:w="30" w:type="dxa"/>
          <w:bottom w:w="30" w:type="dxa"/>
          <w:right w:w="30" w:type="dxa"/>
        </w:tblCellMar>
        <w:tblLook w:firstRow="0" w:noVBand="0" w:lastRow="0" w:firstColumn="0" w:lastColumn="0" w:noHBand="0" w:val="0000"/>
      </w:tblPr>
      <w:tblGrid>
        <w:gridCol w:w="589"/>
        <w:gridCol w:w="1642"/>
        <w:gridCol w:w="648"/>
        <w:gridCol w:w="1069"/>
        <w:gridCol w:w="1"/>
        <w:gridCol w:w="1176"/>
        <w:gridCol w:w="1"/>
        <w:gridCol w:w="517"/>
        <w:gridCol w:w="1"/>
        <w:gridCol w:w="460"/>
        <w:gridCol w:w="1"/>
        <w:gridCol w:w="907"/>
        <w:gridCol w:w="589"/>
      </w:tblGrid>
      <w:tr>
        <w:trPr>
          <w:tblHeader w:val="true"/>
          <w:trHeight w:val="204" w:hRule="atLeast"/>
          <w:cantSplit w:val="true"/>
        </w:trPr>
        <w:tc>
          <w:tcPr>
            <w:tcW w:w="7601" w:type="dxa"/>
            <w:gridSpan w:val="13"/>
            <w:tcBorders/>
            <w:shd w:color="auto" w:fill="FFFFFF" w:val="clear"/>
            <w:vAlign w:val="center"/>
          </w:tcPr>
          <w:p>
            <w:pPr>
              <w:pStyle w:val="Normal"/>
              <w:spacing w:lineRule="auto" w:line="240" w:before="0" w:after="0"/>
              <w:rPr>
                <w:color w:val="000000"/>
                <w:sz w:val="18"/>
                <w:szCs w:val="18"/>
              </w:rPr>
            </w:pPr>
            <w:r>
              <w:rPr>
                <w:b/>
                <w:bCs/>
                <w:color w:val="000000"/>
                <w:sz w:val="18"/>
                <w:szCs w:val="18"/>
              </w:rPr>
              <w:t>Coefficients</w:t>
            </w:r>
            <w:r>
              <w:rPr>
                <w:b/>
                <w:bCs/>
                <w:color w:val="000000"/>
                <w:sz w:val="18"/>
                <w:szCs w:val="18"/>
                <w:vertAlign w:val="superscript"/>
              </w:rPr>
              <w:t>a</w:t>
            </w:r>
          </w:p>
        </w:tc>
      </w:tr>
      <w:tr>
        <w:trPr>
          <w:tblHeader w:val="true"/>
          <w:trHeight w:val="421" w:hRule="atLeast"/>
          <w:cantSplit w:val="true"/>
        </w:trPr>
        <w:tc>
          <w:tcPr>
            <w:tcW w:w="2231" w:type="dxa"/>
            <w:gridSpan w:val="2"/>
            <w:vMerge w:val="restart"/>
            <w:tcBorders>
              <w:top w:val="single" w:sz="16" w:space="0" w:color="000001"/>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t>Model</w:t>
            </w:r>
          </w:p>
        </w:tc>
        <w:tc>
          <w:tcPr>
            <w:tcW w:w="1718" w:type="dxa"/>
            <w:gridSpan w:val="3"/>
            <w:tcBorders>
              <w:top w:val="single" w:sz="16" w:space="0" w:color="000001"/>
              <w:left w:val="single" w:sz="16" w:space="0" w:color="000001"/>
              <w:bottom w:val="single" w:sz="8" w:space="0" w:color="000001"/>
              <w:right w:val="single" w:sz="8" w:space="0" w:color="000001"/>
              <w:insideH w:val="single" w:sz="8" w:space="0" w:color="000001"/>
              <w:insideV w:val="single" w:sz="8"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t>Unstandardized Coefficients</w:t>
            </w:r>
          </w:p>
        </w:tc>
        <w:tc>
          <w:tcPr>
            <w:tcW w:w="1177" w:type="dxa"/>
            <w:gridSpan w:val="2"/>
            <w:tcBorders>
              <w:top w:val="single" w:sz="16" w:space="0" w:color="000001"/>
              <w:left w:val="single" w:sz="8" w:space="0" w:color="000001"/>
              <w:bottom w:val="single" w:sz="8" w:space="0" w:color="000001"/>
              <w:right w:val="single" w:sz="8" w:space="0" w:color="000001"/>
              <w:insideH w:val="single" w:sz="8"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Standardized Coefficients</w:t>
            </w:r>
          </w:p>
        </w:tc>
        <w:tc>
          <w:tcPr>
            <w:tcW w:w="518" w:type="dxa"/>
            <w:gridSpan w:val="2"/>
            <w:vMerge w:val="restart"/>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t</w:t>
            </w:r>
          </w:p>
        </w:tc>
        <w:tc>
          <w:tcPr>
            <w:tcW w:w="461" w:type="dxa"/>
            <w:gridSpan w:val="2"/>
            <w:vMerge w:val="restart"/>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Sig.</w:t>
            </w:r>
          </w:p>
        </w:tc>
        <w:tc>
          <w:tcPr>
            <w:tcW w:w="1496" w:type="dxa"/>
            <w:gridSpan w:val="2"/>
            <w:tcBorders>
              <w:top w:val="single" w:sz="16" w:space="0" w:color="000001"/>
              <w:left w:val="single" w:sz="8" w:space="0" w:color="000001"/>
              <w:bottom w:val="single" w:sz="8" w:space="0" w:color="000001"/>
              <w:right w:val="single" w:sz="16" w:space="0" w:color="000001"/>
              <w:insideH w:val="single" w:sz="8" w:space="0" w:color="000001"/>
              <w:insideV w:val="single" w:sz="16"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Collinearity Statistics</w:t>
            </w:r>
          </w:p>
        </w:tc>
      </w:tr>
      <w:tr>
        <w:trPr>
          <w:tblHeader w:val="true"/>
          <w:trHeight w:val="135" w:hRule="atLeast"/>
          <w:cantSplit w:val="true"/>
        </w:trPr>
        <w:tc>
          <w:tcPr>
            <w:tcW w:w="2231" w:type="dxa"/>
            <w:gridSpan w:val="2"/>
            <w:vMerge w:val="continue"/>
            <w:tcBorders>
              <w:top w:val="single" w:sz="16" w:space="0" w:color="000001"/>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r>
          </w:p>
        </w:tc>
        <w:tc>
          <w:tcPr>
            <w:tcW w:w="648" w:type="dxa"/>
            <w:tcBorders>
              <w:top w:val="single" w:sz="8" w:space="0" w:color="000001"/>
              <w:left w:val="single" w:sz="16" w:space="0" w:color="000001"/>
              <w:bottom w:val="single" w:sz="16" w:space="0" w:color="000001"/>
              <w:right w:val="single" w:sz="8" w:space="0" w:color="000001"/>
              <w:insideH w:val="single" w:sz="16" w:space="0" w:color="000001"/>
              <w:insideV w:val="single" w:sz="8"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t>B</w:t>
            </w:r>
          </w:p>
        </w:tc>
        <w:tc>
          <w:tcPr>
            <w:tcW w:w="1069" w:type="dxa"/>
            <w:tcBorders>
              <w:top w:val="single" w:sz="8"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Std. Error</w:t>
            </w:r>
          </w:p>
        </w:tc>
        <w:tc>
          <w:tcPr>
            <w:tcW w:w="1177" w:type="dxa"/>
            <w:gridSpan w:val="2"/>
            <w:tcBorders>
              <w:top w:val="single" w:sz="8"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Beta</w:t>
            </w:r>
          </w:p>
        </w:tc>
        <w:tc>
          <w:tcPr>
            <w:tcW w:w="518" w:type="dxa"/>
            <w:gridSpan w:val="2"/>
            <w:vMerge w:val="continue"/>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r>
          </w:p>
        </w:tc>
        <w:tc>
          <w:tcPr>
            <w:tcW w:w="461" w:type="dxa"/>
            <w:gridSpan w:val="2"/>
            <w:vMerge w:val="continue"/>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r>
          </w:p>
        </w:tc>
        <w:tc>
          <w:tcPr>
            <w:tcW w:w="908" w:type="dxa"/>
            <w:gridSpan w:val="2"/>
            <w:tcBorders>
              <w:top w:val="single" w:sz="8"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Tolerance</w:t>
            </w:r>
          </w:p>
        </w:tc>
        <w:tc>
          <w:tcPr>
            <w:tcW w:w="589" w:type="dxa"/>
            <w:tcBorders>
              <w:top w:val="single" w:sz="8" w:space="0" w:color="000001"/>
              <w:left w:val="single" w:sz="8" w:space="0" w:color="000001"/>
              <w:bottom w:val="single" w:sz="16" w:space="0" w:color="000001"/>
              <w:right w:val="single" w:sz="16" w:space="0" w:color="000001"/>
              <w:insideH w:val="single" w:sz="16" w:space="0" w:color="000001"/>
              <w:insideV w:val="single" w:sz="16"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VIF</w:t>
            </w:r>
          </w:p>
        </w:tc>
      </w:tr>
      <w:tr>
        <w:trPr>
          <w:tblHeader w:val="true"/>
          <w:trHeight w:val="293" w:hRule="atLeast"/>
          <w:cantSplit w:val="true"/>
        </w:trPr>
        <w:tc>
          <w:tcPr>
            <w:tcW w:w="589" w:type="dxa"/>
            <w:vMerge w:val="restart"/>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w:t>
            </w:r>
          </w:p>
        </w:tc>
        <w:tc>
          <w:tcPr>
            <w:tcW w:w="1642" w:type="dxa"/>
            <w:tcBorders>
              <w:top w:val="single" w:sz="16" w:space="0" w:color="000001"/>
              <w:right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(Constant)</w:t>
            </w:r>
          </w:p>
        </w:tc>
        <w:tc>
          <w:tcPr>
            <w:tcW w:w="648" w:type="dxa"/>
            <w:tcBorders>
              <w:top w:val="single" w:sz="16" w:space="0" w:color="000001"/>
              <w:left w:val="single" w:sz="16" w:space="0" w:color="000001"/>
              <w:right w:val="single" w:sz="8"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-.330</w:t>
            </w:r>
          </w:p>
        </w:tc>
        <w:tc>
          <w:tcPr>
            <w:tcW w:w="1069" w:type="dxa"/>
            <w:tcBorders>
              <w:top w:val="single" w:sz="16" w:space="0" w:color="000001"/>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.651</w:t>
            </w:r>
          </w:p>
        </w:tc>
        <w:tc>
          <w:tcPr>
            <w:tcW w:w="1177" w:type="dxa"/>
            <w:gridSpan w:val="2"/>
            <w:tcBorders>
              <w:top w:val="single" w:sz="16" w:space="0" w:color="000001"/>
              <w:left w:val="single" w:sz="8" w:space="0" w:color="000001"/>
              <w:right w:val="single" w:sz="8" w:space="0" w:color="000001"/>
              <w:insideV w:val="single" w:sz="8" w:space="0" w:color="000001"/>
            </w:tcBorders>
            <w:shd w:color="auto" w:fill="FFFFFF" w:val="clear"/>
            <w:tcMar>
              <w:left w:w="20" w:type="dxa"/>
            </w:tcMar>
            <w:vAlign w:val="center"/>
          </w:tcPr>
          <w:p>
            <w:pPr>
              <w:pStyle w:val="Normal"/>
              <w:spacing w:lineRule="auto" w:line="240" w:before="0" w:after="0"/>
              <w:rPr/>
            </w:pPr>
            <w:r>
              <w:rPr/>
            </w:r>
          </w:p>
        </w:tc>
        <w:tc>
          <w:tcPr>
            <w:tcW w:w="518" w:type="dxa"/>
            <w:gridSpan w:val="2"/>
            <w:tcBorders>
              <w:top w:val="single" w:sz="16" w:space="0" w:color="000001"/>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-.507</w:t>
            </w:r>
          </w:p>
        </w:tc>
        <w:tc>
          <w:tcPr>
            <w:tcW w:w="461" w:type="dxa"/>
            <w:gridSpan w:val="2"/>
            <w:tcBorders>
              <w:top w:val="single" w:sz="16" w:space="0" w:color="000001"/>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.615</w:t>
            </w:r>
          </w:p>
        </w:tc>
        <w:tc>
          <w:tcPr>
            <w:tcW w:w="908" w:type="dxa"/>
            <w:gridSpan w:val="2"/>
            <w:tcBorders>
              <w:top w:val="single" w:sz="16" w:space="0" w:color="000001"/>
              <w:left w:val="single" w:sz="8" w:space="0" w:color="000001"/>
              <w:right w:val="single" w:sz="8" w:space="0" w:color="000001"/>
              <w:insideV w:val="single" w:sz="8" w:space="0" w:color="000001"/>
            </w:tcBorders>
            <w:shd w:color="auto" w:fill="FFFFFF" w:val="clear"/>
            <w:tcMar>
              <w:left w:w="20" w:type="dxa"/>
            </w:tcMar>
            <w:vAlign w:val="center"/>
          </w:tcPr>
          <w:p>
            <w:pPr>
              <w:pStyle w:val="Normal"/>
              <w:spacing w:lineRule="auto" w:line="240" w:before="0" w:after="0"/>
              <w:rPr/>
            </w:pPr>
            <w:r>
              <w:rPr/>
            </w:r>
          </w:p>
        </w:tc>
        <w:tc>
          <w:tcPr>
            <w:tcW w:w="589" w:type="dxa"/>
            <w:tcBorders>
              <w:top w:val="single" w:sz="16" w:space="0" w:color="000001"/>
              <w:left w:val="single" w:sz="8" w:space="0" w:color="000001"/>
              <w:right w:val="single" w:sz="16" w:space="0" w:color="000001"/>
              <w:insideV w:val="single" w:sz="16" w:space="0" w:color="000001"/>
            </w:tcBorders>
            <w:shd w:color="auto" w:fill="FFFFFF" w:val="clear"/>
            <w:tcMar>
              <w:left w:w="20" w:type="dxa"/>
            </w:tcMar>
            <w:vAlign w:val="center"/>
          </w:tcPr>
          <w:p>
            <w:pPr>
              <w:pStyle w:val="Normal"/>
              <w:spacing w:lineRule="auto" w:line="240" w:before="0" w:after="0"/>
              <w:rPr/>
            </w:pPr>
            <w:r>
              <w:rPr/>
            </w:r>
          </w:p>
        </w:tc>
      </w:tr>
      <w:tr>
        <w:trPr>
          <w:tblHeader w:val="true"/>
          <w:trHeight w:val="135" w:hRule="atLeast"/>
          <w:cantSplit w:val="true"/>
        </w:trPr>
        <w:tc>
          <w:tcPr>
            <w:tcW w:w="589" w:type="dxa"/>
            <w:vMerge w:val="continue"/>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pPr>
            <w:r>
              <w:rPr/>
            </w:r>
          </w:p>
        </w:tc>
        <w:tc>
          <w:tcPr>
            <w:tcW w:w="1642" w:type="dxa"/>
            <w:tcBorders>
              <w:right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LN_ROA</w:t>
            </w:r>
          </w:p>
        </w:tc>
        <w:tc>
          <w:tcPr>
            <w:tcW w:w="648" w:type="dxa"/>
            <w:tcBorders>
              <w:left w:val="single" w:sz="16" w:space="0" w:color="000001"/>
              <w:right w:val="single" w:sz="8"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1.491</w:t>
            </w:r>
          </w:p>
        </w:tc>
        <w:tc>
          <w:tcPr>
            <w:tcW w:w="1069"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.485</w:t>
            </w:r>
          </w:p>
        </w:tc>
        <w:tc>
          <w:tcPr>
            <w:tcW w:w="1177"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1.269</w:t>
            </w:r>
          </w:p>
        </w:tc>
        <w:tc>
          <w:tcPr>
            <w:tcW w:w="518"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3.076</w:t>
            </w:r>
          </w:p>
        </w:tc>
        <w:tc>
          <w:tcPr>
            <w:tcW w:w="461"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.004</w:t>
            </w:r>
          </w:p>
        </w:tc>
        <w:tc>
          <w:tcPr>
            <w:tcW w:w="908"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.123</w:t>
            </w:r>
          </w:p>
        </w:tc>
        <w:tc>
          <w:tcPr>
            <w:tcW w:w="589" w:type="dxa"/>
            <w:tcBorders>
              <w:left w:val="single" w:sz="8" w:space="0" w:color="000001"/>
              <w:right w:val="single" w:sz="16" w:space="0" w:color="000001"/>
              <w:insideV w:val="single" w:sz="16"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8.111</w:t>
            </w:r>
          </w:p>
        </w:tc>
      </w:tr>
      <w:tr>
        <w:trPr>
          <w:tblHeader w:val="true"/>
          <w:trHeight w:val="135" w:hRule="atLeast"/>
          <w:cantSplit w:val="true"/>
        </w:trPr>
        <w:tc>
          <w:tcPr>
            <w:tcW w:w="589" w:type="dxa"/>
            <w:vMerge w:val="continue"/>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r>
          </w:p>
        </w:tc>
        <w:tc>
          <w:tcPr>
            <w:tcW w:w="1642" w:type="dxa"/>
            <w:tcBorders>
              <w:right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LN_DER</w:t>
            </w:r>
          </w:p>
        </w:tc>
        <w:tc>
          <w:tcPr>
            <w:tcW w:w="648" w:type="dxa"/>
            <w:tcBorders>
              <w:left w:val="single" w:sz="16" w:space="0" w:color="000001"/>
              <w:right w:val="single" w:sz="8"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-1.230</w:t>
            </w:r>
          </w:p>
        </w:tc>
        <w:tc>
          <w:tcPr>
            <w:tcW w:w="1069"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.535</w:t>
            </w:r>
          </w:p>
        </w:tc>
        <w:tc>
          <w:tcPr>
            <w:tcW w:w="1177"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-1.011</w:t>
            </w:r>
          </w:p>
        </w:tc>
        <w:tc>
          <w:tcPr>
            <w:tcW w:w="518"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-2.299</w:t>
            </w:r>
          </w:p>
        </w:tc>
        <w:tc>
          <w:tcPr>
            <w:tcW w:w="461"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.027</w:t>
            </w:r>
          </w:p>
        </w:tc>
        <w:tc>
          <w:tcPr>
            <w:tcW w:w="908"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.109</w:t>
            </w:r>
          </w:p>
        </w:tc>
        <w:tc>
          <w:tcPr>
            <w:tcW w:w="589" w:type="dxa"/>
            <w:tcBorders>
              <w:left w:val="single" w:sz="8" w:space="0" w:color="000001"/>
              <w:right w:val="single" w:sz="16" w:space="0" w:color="000001"/>
              <w:insideV w:val="single" w:sz="16"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9.208</w:t>
            </w:r>
          </w:p>
        </w:tc>
      </w:tr>
      <w:tr>
        <w:trPr>
          <w:tblHeader w:val="true"/>
          <w:trHeight w:val="135" w:hRule="atLeast"/>
          <w:cantSplit w:val="true"/>
        </w:trPr>
        <w:tc>
          <w:tcPr>
            <w:tcW w:w="589" w:type="dxa"/>
            <w:vMerge w:val="continue"/>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r>
          </w:p>
        </w:tc>
        <w:tc>
          <w:tcPr>
            <w:tcW w:w="1642" w:type="dxa"/>
            <w:tcBorders>
              <w:right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LN_NPM</w:t>
            </w:r>
          </w:p>
        </w:tc>
        <w:tc>
          <w:tcPr>
            <w:tcW w:w="648" w:type="dxa"/>
            <w:tcBorders>
              <w:left w:val="single" w:sz="16" w:space="0" w:color="000001"/>
              <w:right w:val="single" w:sz="8"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.160</w:t>
            </w:r>
          </w:p>
        </w:tc>
        <w:tc>
          <w:tcPr>
            <w:tcW w:w="1069"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.192</w:t>
            </w:r>
          </w:p>
        </w:tc>
        <w:tc>
          <w:tcPr>
            <w:tcW w:w="1177"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.139</w:t>
            </w:r>
          </w:p>
        </w:tc>
        <w:tc>
          <w:tcPr>
            <w:tcW w:w="518"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.831</w:t>
            </w:r>
          </w:p>
        </w:tc>
        <w:tc>
          <w:tcPr>
            <w:tcW w:w="461"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.411</w:t>
            </w:r>
          </w:p>
        </w:tc>
        <w:tc>
          <w:tcPr>
            <w:tcW w:w="908" w:type="dxa"/>
            <w:gridSpan w:val="2"/>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.749</w:t>
            </w:r>
          </w:p>
        </w:tc>
        <w:tc>
          <w:tcPr>
            <w:tcW w:w="589" w:type="dxa"/>
            <w:tcBorders>
              <w:left w:val="single" w:sz="8" w:space="0" w:color="000001"/>
              <w:right w:val="single" w:sz="16" w:space="0" w:color="000001"/>
              <w:insideV w:val="single" w:sz="16"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1.335</w:t>
            </w:r>
          </w:p>
        </w:tc>
      </w:tr>
      <w:tr>
        <w:trPr>
          <w:tblHeader w:val="true"/>
          <w:trHeight w:val="135" w:hRule="atLeast"/>
          <w:cantSplit w:val="true"/>
        </w:trPr>
        <w:tc>
          <w:tcPr>
            <w:tcW w:w="589" w:type="dxa"/>
            <w:vMerge w:val="continue"/>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r>
          </w:p>
        </w:tc>
        <w:tc>
          <w:tcPr>
            <w:tcW w:w="1642" w:type="dxa"/>
            <w:tcBorders>
              <w:bottom w:val="single" w:sz="16" w:space="0" w:color="000001"/>
              <w:right w:val="single" w:sz="16" w:space="0" w:color="000001"/>
              <w:insideH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LN_INDEKS_ECKEL</w:t>
            </w:r>
          </w:p>
        </w:tc>
        <w:tc>
          <w:tcPr>
            <w:tcW w:w="648" w:type="dxa"/>
            <w:tcBorders>
              <w:left w:val="single" w:sz="16" w:space="0" w:color="000001"/>
              <w:bottom w:val="single" w:sz="16" w:space="0" w:color="000001"/>
              <w:right w:val="single" w:sz="8" w:space="0" w:color="000001"/>
              <w:insideH w:val="single" w:sz="16"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.125</w:t>
            </w:r>
          </w:p>
        </w:tc>
        <w:tc>
          <w:tcPr>
            <w:tcW w:w="1069" w:type="dxa"/>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.158</w:t>
            </w:r>
          </w:p>
        </w:tc>
        <w:tc>
          <w:tcPr>
            <w:tcW w:w="1177" w:type="dxa"/>
            <w:gridSpan w:val="2"/>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.131</w:t>
            </w:r>
          </w:p>
        </w:tc>
        <w:tc>
          <w:tcPr>
            <w:tcW w:w="518" w:type="dxa"/>
            <w:gridSpan w:val="2"/>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.796</w:t>
            </w:r>
          </w:p>
        </w:tc>
        <w:tc>
          <w:tcPr>
            <w:tcW w:w="461" w:type="dxa"/>
            <w:gridSpan w:val="2"/>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.431</w:t>
            </w:r>
          </w:p>
        </w:tc>
        <w:tc>
          <w:tcPr>
            <w:tcW w:w="908" w:type="dxa"/>
            <w:gridSpan w:val="2"/>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.776</w:t>
            </w:r>
          </w:p>
        </w:tc>
        <w:tc>
          <w:tcPr>
            <w:tcW w:w="589" w:type="dxa"/>
            <w:tcBorders>
              <w:left w:val="single" w:sz="8" w:space="0" w:color="000001"/>
              <w:bottom w:val="single" w:sz="16" w:space="0" w:color="000001"/>
              <w:right w:val="single" w:sz="16" w:space="0" w:color="000001"/>
              <w:insideH w:val="single" w:sz="16" w:space="0" w:color="000001"/>
              <w:insideV w:val="single" w:sz="16"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1.288</w:t>
            </w:r>
          </w:p>
        </w:tc>
      </w:tr>
      <w:tr>
        <w:trPr>
          <w:trHeight w:val="204" w:hRule="atLeast"/>
          <w:cantSplit w:val="true"/>
        </w:trPr>
        <w:tc>
          <w:tcPr>
            <w:tcW w:w="7601" w:type="dxa"/>
            <w:gridSpan w:val="13"/>
            <w:tcBorders/>
            <w:shd w:color="auto" w:fill="FFFFFF" w:val="clear"/>
          </w:tcPr>
          <w:p>
            <w:pPr>
              <w:pStyle w:val="Normal"/>
              <w:spacing w:lineRule="auto" w:line="240" w:before="0" w:after="0"/>
              <w:rPr>
                <w:sz w:val="18"/>
                <w:szCs w:val="18"/>
              </w:rPr>
            </w:pPr>
            <w:r>
              <w:rPr>
                <w:sz w:val="18"/>
                <w:szCs w:val="18"/>
              </w:rPr>
              <w:t>Dependent Variable: LN_RETURN</w:t>
            </w:r>
          </w:p>
          <w:p>
            <w:pPr>
              <w:pStyle w:val="NoSpacing1"/>
              <w:spacing w:lineRule="auto" w:line="240" w:before="0" w:after="200"/>
              <w:contextualSpacing/>
              <w:rPr>
                <w:rFonts w:ascii="Times New Roman" w:hAnsi="Times New Roman"/>
                <w:i/>
                <w:i/>
                <w:sz w:val="24"/>
                <w:szCs w:val="24"/>
              </w:rPr>
            </w:pPr>
            <w:r>
              <w:rPr>
                <w:rFonts w:ascii="Times New Roman" w:hAnsi="Times New Roman"/>
                <w:i/>
                <w:sz w:val="24"/>
                <w:szCs w:val="24"/>
                <w:lang w:val="id-ID"/>
              </w:rPr>
              <w:t>Sumber : Pengolahan dilakukan dengan SPSS 20</w:t>
            </w:r>
          </w:p>
          <w:p>
            <w:pPr>
              <w:pStyle w:val="Normal"/>
              <w:spacing w:lineRule="auto" w:line="240" w:before="0" w:after="0"/>
              <w:rPr>
                <w:sz w:val="18"/>
                <w:szCs w:val="18"/>
              </w:rPr>
            </w:pPr>
            <w:r>
              <w:rPr>
                <w:sz w:val="18"/>
                <w:szCs w:val="18"/>
              </w:rPr>
            </w:r>
          </w:p>
        </w:tc>
      </w:tr>
    </w:tbl>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t>Berdasarkan tabel tersebut maka diperoleh persamaan regresi sebagai berikut :</w:t>
      </w:r>
    </w:p>
    <w:p>
      <w:pPr>
        <w:pStyle w:val="Normal"/>
        <w:spacing w:lineRule="auto" w:line="360" w:before="0" w:after="0"/>
        <w:rPr>
          <w:rFonts w:ascii="Times New Roman" w:hAnsi="Times New Roman" w:cs="Times New Roman"/>
          <w:b/>
          <w:b/>
          <w:sz w:val="24"/>
          <w:szCs w:val="24"/>
        </w:rPr>
      </w:pPr>
      <w:r>
        <w:rPr>
          <w:rFonts w:cs="Times New Roman" w:ascii="Times New Roman" w:hAnsi="Times New Roman"/>
          <w:b/>
          <w:sz w:val="24"/>
          <w:szCs w:val="24"/>
        </w:rPr>
        <w:t>Ln (Return Saham) = -0,330 + 1,491 ROA – 1,230 DER + 0,160 NPM + 0,125 Indeks Eckel</w:t>
      </w:r>
    </w:p>
    <w:p>
      <w:pPr>
        <w:pStyle w:val="Normal"/>
        <w:spacing w:lineRule="auto" w:line="360"/>
        <w:jc w:val="both"/>
        <w:rPr/>
      </w:pPr>
      <w:r>
        <w:rPr/>
        <w:t>Berdasarkan tabel di atas, diperoleh beberapa hasil sebagai berikut:</w:t>
      </w:r>
    </w:p>
    <w:p>
      <w:pPr>
        <w:pStyle w:val="ListParagraph"/>
        <w:numPr>
          <w:ilvl w:val="0"/>
          <w:numId w:val="1"/>
        </w:numPr>
        <w:pBdr/>
        <w:spacing w:lineRule="auto" w:line="360" w:before="0" w:after="200"/>
        <w:ind w:left="709" w:hanging="709"/>
        <w:contextualSpacing/>
        <w:jc w:val="both"/>
        <w:rPr>
          <w:rFonts w:cs="Times New Roman"/>
        </w:rPr>
      </w:pPr>
      <w:r>
        <w:rPr>
          <w:rFonts w:cs="Times New Roman"/>
        </w:rPr>
        <w:t>Nilai signifikan pengaruh variabel ROA terhadap Return saham adalah sebesar 0,004 &lt; 0,05 dengan nilai t hitung bertanda positif yang berarti variabel ROA berpengaruh positif dan signifikan terhadap return saham. Semakin tinggi ROA maka semakin tinggi return saham begitu sebaliknya.</w:t>
      </w:r>
    </w:p>
    <w:p>
      <w:pPr>
        <w:pStyle w:val="ListParagraph"/>
        <w:numPr>
          <w:ilvl w:val="0"/>
          <w:numId w:val="1"/>
        </w:numPr>
        <w:pBdr/>
        <w:spacing w:lineRule="auto" w:line="360" w:before="0" w:after="200"/>
        <w:ind w:left="709" w:hanging="709"/>
        <w:contextualSpacing/>
        <w:jc w:val="both"/>
        <w:rPr>
          <w:rFonts w:cs="Times New Roman"/>
        </w:rPr>
      </w:pPr>
      <w:r>
        <w:rPr>
          <w:rFonts w:cs="Times New Roman"/>
        </w:rPr>
        <w:t>Nilai signifikan pengaruh variabel DER terhadap Return saham adalah sebesar 0,027 &lt; 0,05 dengan nilai t hitung bertanda negatif yang berarti variabel DER berpengaruh negatif dan signifikan terhadap return saham. Semakin tinggi DER maka semakin rendah return saham begitu sebaliknya.</w:t>
      </w:r>
    </w:p>
    <w:p>
      <w:pPr>
        <w:pStyle w:val="ListParagraph"/>
        <w:numPr>
          <w:ilvl w:val="0"/>
          <w:numId w:val="1"/>
        </w:numPr>
        <w:pBdr/>
        <w:spacing w:lineRule="auto" w:line="360" w:before="0" w:after="200"/>
        <w:ind w:left="709" w:hanging="709"/>
        <w:contextualSpacing/>
        <w:jc w:val="both"/>
        <w:rPr>
          <w:rFonts w:cs="Times New Roman"/>
        </w:rPr>
      </w:pPr>
      <w:r>
        <w:rPr>
          <w:rFonts w:cs="Times New Roman"/>
        </w:rPr>
        <w:t xml:space="preserve">Nilai signifikan pengaruh variabel NPM terhadap Return saham adalah sebesar 0,411 &gt; 0,05 yang berarti variabel NPM tidak  berpengaruh signifikan terhadap return saham. </w:t>
      </w:r>
    </w:p>
    <w:p>
      <w:pPr>
        <w:pStyle w:val="ListParagraph"/>
        <w:numPr>
          <w:ilvl w:val="0"/>
          <w:numId w:val="1"/>
        </w:numPr>
        <w:pBdr/>
        <w:spacing w:lineRule="auto" w:line="360" w:before="0" w:after="60"/>
        <w:ind w:left="709" w:hanging="709"/>
        <w:contextualSpacing/>
        <w:jc w:val="both"/>
        <w:rPr>
          <w:rFonts w:cs="Times New Roman"/>
        </w:rPr>
      </w:pPr>
      <w:r>
        <w:rPr>
          <w:rFonts w:cs="Times New Roman"/>
        </w:rPr>
        <w:t xml:space="preserve">Nilai signifikan pengaruh variabel Indeks Eckel terhadap Return saham adalah sebesar 0,431 &gt; 0,05 yang berarti variabel Indeks Eckel tidak berpengaruh signifikan terhadap return saham. </w:t>
      </w:r>
    </w:p>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rPr>
          <w:rFonts w:ascii="Times New Roman" w:hAnsi="Times New Roman" w:cs="Times New Roman"/>
          <w:b/>
          <w:b/>
          <w:sz w:val="24"/>
          <w:szCs w:val="24"/>
        </w:rPr>
      </w:pPr>
      <w:r>
        <w:rPr>
          <w:rFonts w:cs="Times New Roman" w:ascii="Times New Roman" w:hAnsi="Times New Roman"/>
          <w:b/>
          <w:sz w:val="24"/>
          <w:szCs w:val="24"/>
        </w:rPr>
        <w:t>UJI F</w:t>
      </w:r>
    </w:p>
    <w:p>
      <w:pPr>
        <w:pStyle w:val="Normal"/>
        <w:spacing w:lineRule="auto" w:line="240" w:before="0" w:after="0"/>
        <w:ind w:left="4320" w:hanging="0"/>
        <w:rPr>
          <w:b/>
          <w:b/>
        </w:rPr>
      </w:pPr>
      <w:r>
        <w:rPr>
          <w:b/>
        </w:rPr>
        <w:t>Tabel 7</w:t>
      </w:r>
    </w:p>
    <w:p>
      <w:pPr>
        <w:pStyle w:val="Normal"/>
        <w:spacing w:lineRule="auto" w:line="240" w:before="0" w:after="0"/>
        <w:ind w:left="4320" w:hanging="0"/>
        <w:rPr>
          <w:b/>
          <w:b/>
        </w:rPr>
      </w:pPr>
      <w:r>
        <w:rPr>
          <w:b/>
        </w:rPr>
        <w:t>Hasil Uji F</w:t>
      </w:r>
    </w:p>
    <w:tbl>
      <w:tblPr>
        <w:tblW w:w="6742" w:type="dxa"/>
        <w:jc w:val="center"/>
        <w:tblInd w:w="0" w:type="dxa"/>
        <w:tblBorders/>
        <w:tblCellMar>
          <w:top w:w="30" w:type="dxa"/>
          <w:left w:w="30" w:type="dxa"/>
          <w:bottom w:w="30" w:type="dxa"/>
          <w:right w:w="30" w:type="dxa"/>
        </w:tblCellMar>
        <w:tblLook w:firstRow="0" w:noVBand="0" w:lastRow="0" w:firstColumn="0" w:lastColumn="0" w:noHBand="0" w:val="0000"/>
      </w:tblPr>
      <w:tblGrid>
        <w:gridCol w:w="622"/>
        <w:gridCol w:w="1087"/>
        <w:gridCol w:w="1246"/>
        <w:gridCol w:w="862"/>
        <w:gridCol w:w="1197"/>
        <w:gridCol w:w="864"/>
        <w:gridCol w:w="863"/>
      </w:tblGrid>
      <w:tr>
        <w:trPr>
          <w:tblHeader w:val="true"/>
          <w:trHeight w:val="212" w:hRule="atLeast"/>
          <w:cantSplit w:val="true"/>
        </w:trPr>
        <w:tc>
          <w:tcPr>
            <w:tcW w:w="6741" w:type="dxa"/>
            <w:gridSpan w:val="7"/>
            <w:tcBorders/>
            <w:shd w:color="auto" w:fill="FFFFFF" w:val="clear"/>
            <w:vAlign w:val="center"/>
          </w:tcPr>
          <w:p>
            <w:pPr>
              <w:pStyle w:val="Normal"/>
              <w:spacing w:lineRule="auto" w:line="240" w:before="0" w:after="0"/>
              <w:rPr>
                <w:color w:val="000000"/>
                <w:sz w:val="18"/>
                <w:szCs w:val="18"/>
              </w:rPr>
            </w:pPr>
            <w:r>
              <w:rPr>
                <w:color w:val="000000"/>
                <w:sz w:val="18"/>
                <w:szCs w:val="18"/>
              </w:rPr>
            </w:r>
          </w:p>
        </w:tc>
      </w:tr>
      <w:tr>
        <w:trPr>
          <w:tblHeader w:val="true"/>
          <w:trHeight w:val="199" w:hRule="atLeast"/>
          <w:cantSplit w:val="true"/>
        </w:trPr>
        <w:tc>
          <w:tcPr>
            <w:tcW w:w="1709" w:type="dxa"/>
            <w:gridSpan w:val="2"/>
            <w:tcBorders>
              <w:top w:val="single" w:sz="16" w:space="0" w:color="000001"/>
              <w:left w:val="single" w:sz="16" w:space="0" w:color="000001"/>
              <w:bottom w:val="single" w:sz="16" w:space="0" w:color="000001"/>
              <w:right w:val="single" w:sz="16" w:space="0" w:color="000001"/>
              <w:insideH w:val="single" w:sz="16" w:space="0" w:color="000001"/>
              <w:insideV w:val="single" w:sz="16"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t>Model</w:t>
            </w:r>
          </w:p>
        </w:tc>
        <w:tc>
          <w:tcPr>
            <w:tcW w:w="1246" w:type="dxa"/>
            <w:tcBorders>
              <w:top w:val="single" w:sz="16" w:space="0" w:color="000001"/>
              <w:left w:val="single" w:sz="16" w:space="0" w:color="000001"/>
              <w:bottom w:val="single" w:sz="16" w:space="0" w:color="000001"/>
              <w:right w:val="single" w:sz="8" w:space="0" w:color="000001"/>
              <w:insideH w:val="single" w:sz="16" w:space="0" w:color="000001"/>
              <w:insideV w:val="single" w:sz="8" w:space="0" w:color="000001"/>
            </w:tcBorders>
            <w:shd w:color="auto" w:fill="FFFFFF" w:val="clear"/>
            <w:tcMar>
              <w:left w:w="10" w:type="dxa"/>
            </w:tcMar>
            <w:vAlign w:val="bottom"/>
          </w:tcPr>
          <w:p>
            <w:pPr>
              <w:pStyle w:val="Normal"/>
              <w:spacing w:lineRule="auto" w:line="240" w:before="0" w:after="0"/>
              <w:rPr>
                <w:color w:val="000000"/>
                <w:sz w:val="18"/>
                <w:szCs w:val="18"/>
              </w:rPr>
            </w:pPr>
            <w:r>
              <w:rPr>
                <w:color w:val="000000"/>
                <w:sz w:val="18"/>
                <w:szCs w:val="18"/>
              </w:rPr>
              <w:t>Sum of Squares</w:t>
            </w:r>
          </w:p>
        </w:tc>
        <w:tc>
          <w:tcPr>
            <w:tcW w:w="862"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df</w:t>
            </w:r>
          </w:p>
        </w:tc>
        <w:tc>
          <w:tcPr>
            <w:tcW w:w="1197"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Mean Square</w:t>
            </w:r>
          </w:p>
        </w:tc>
        <w:tc>
          <w:tcPr>
            <w:tcW w:w="864" w:type="dxa"/>
            <w:tcBorders>
              <w:top w:val="single" w:sz="16" w:space="0" w:color="000001"/>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F</w:t>
            </w:r>
          </w:p>
        </w:tc>
        <w:tc>
          <w:tcPr>
            <w:tcW w:w="863" w:type="dxa"/>
            <w:tcBorders>
              <w:top w:val="single" w:sz="16" w:space="0" w:color="000001"/>
              <w:left w:val="single" w:sz="8" w:space="0" w:color="000001"/>
              <w:bottom w:val="single" w:sz="16" w:space="0" w:color="000001"/>
              <w:right w:val="single" w:sz="16" w:space="0" w:color="000001"/>
              <w:insideH w:val="single" w:sz="16" w:space="0" w:color="000001"/>
              <w:insideV w:val="single" w:sz="16" w:space="0" w:color="000001"/>
            </w:tcBorders>
            <w:shd w:color="auto" w:fill="FFFFFF" w:val="clear"/>
            <w:tcMar>
              <w:left w:w="20" w:type="dxa"/>
            </w:tcMar>
            <w:vAlign w:val="bottom"/>
          </w:tcPr>
          <w:p>
            <w:pPr>
              <w:pStyle w:val="Normal"/>
              <w:spacing w:lineRule="auto" w:line="240" w:before="0" w:after="0"/>
              <w:rPr>
                <w:color w:val="000000"/>
                <w:sz w:val="18"/>
                <w:szCs w:val="18"/>
              </w:rPr>
            </w:pPr>
            <w:r>
              <w:rPr>
                <w:color w:val="000000"/>
                <w:sz w:val="18"/>
                <w:szCs w:val="18"/>
              </w:rPr>
              <w:t>Sig.</w:t>
            </w:r>
          </w:p>
        </w:tc>
      </w:tr>
      <w:tr>
        <w:trPr>
          <w:tblHeader w:val="true"/>
          <w:trHeight w:val="239" w:hRule="atLeast"/>
          <w:cantSplit w:val="true"/>
        </w:trPr>
        <w:tc>
          <w:tcPr>
            <w:tcW w:w="622" w:type="dxa"/>
            <w:vMerge w:val="restart"/>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w:t>
            </w:r>
          </w:p>
        </w:tc>
        <w:tc>
          <w:tcPr>
            <w:tcW w:w="1087" w:type="dxa"/>
            <w:tcBorders>
              <w:top w:val="single" w:sz="16" w:space="0" w:color="000001"/>
              <w:right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Regression</w:t>
            </w:r>
          </w:p>
        </w:tc>
        <w:tc>
          <w:tcPr>
            <w:tcW w:w="1246" w:type="dxa"/>
            <w:tcBorders>
              <w:top w:val="single" w:sz="16" w:space="0" w:color="000001"/>
              <w:left w:val="single" w:sz="16" w:space="0" w:color="000001"/>
              <w:right w:val="single" w:sz="8"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19.712</w:t>
            </w:r>
          </w:p>
        </w:tc>
        <w:tc>
          <w:tcPr>
            <w:tcW w:w="862" w:type="dxa"/>
            <w:tcBorders>
              <w:top w:val="single" w:sz="16" w:space="0" w:color="000001"/>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4</w:t>
            </w:r>
          </w:p>
        </w:tc>
        <w:tc>
          <w:tcPr>
            <w:tcW w:w="1197" w:type="dxa"/>
            <w:tcBorders>
              <w:top w:val="single" w:sz="16" w:space="0" w:color="000001"/>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4.928</w:t>
            </w:r>
          </w:p>
        </w:tc>
        <w:tc>
          <w:tcPr>
            <w:tcW w:w="864" w:type="dxa"/>
            <w:tcBorders>
              <w:top w:val="single" w:sz="16" w:space="0" w:color="000001"/>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2.914</w:t>
            </w:r>
          </w:p>
        </w:tc>
        <w:tc>
          <w:tcPr>
            <w:tcW w:w="863" w:type="dxa"/>
            <w:tcBorders>
              <w:top w:val="single" w:sz="16" w:space="0" w:color="000001"/>
              <w:left w:val="single" w:sz="8" w:space="0" w:color="000001"/>
              <w:right w:val="single" w:sz="16" w:space="0" w:color="000001"/>
              <w:insideV w:val="single" w:sz="16"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.035</w:t>
            </w:r>
            <w:r>
              <w:rPr>
                <w:color w:val="000000"/>
                <w:sz w:val="18"/>
                <w:szCs w:val="18"/>
                <w:vertAlign w:val="superscript"/>
              </w:rPr>
              <w:t>a</w:t>
            </w:r>
          </w:p>
        </w:tc>
      </w:tr>
      <w:tr>
        <w:trPr>
          <w:tblHeader w:val="true"/>
          <w:trHeight w:val="140" w:hRule="atLeast"/>
          <w:cantSplit w:val="true"/>
        </w:trPr>
        <w:tc>
          <w:tcPr>
            <w:tcW w:w="622" w:type="dxa"/>
            <w:vMerge w:val="continue"/>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r>
          </w:p>
        </w:tc>
        <w:tc>
          <w:tcPr>
            <w:tcW w:w="1087" w:type="dxa"/>
            <w:tcBorders>
              <w:right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Residual</w:t>
            </w:r>
          </w:p>
        </w:tc>
        <w:tc>
          <w:tcPr>
            <w:tcW w:w="1246" w:type="dxa"/>
            <w:tcBorders>
              <w:left w:val="single" w:sz="16" w:space="0" w:color="000001"/>
              <w:right w:val="single" w:sz="8"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60.888</w:t>
            </w:r>
          </w:p>
        </w:tc>
        <w:tc>
          <w:tcPr>
            <w:tcW w:w="862"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36</w:t>
            </w:r>
          </w:p>
        </w:tc>
        <w:tc>
          <w:tcPr>
            <w:tcW w:w="1197" w:type="dxa"/>
            <w:tcBorders>
              <w:left w:val="single" w:sz="8" w:space="0" w:color="000001"/>
              <w:right w:val="single" w:sz="8"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1.691</w:t>
            </w:r>
          </w:p>
        </w:tc>
        <w:tc>
          <w:tcPr>
            <w:tcW w:w="864" w:type="dxa"/>
            <w:tcBorders>
              <w:left w:val="single" w:sz="8" w:space="0" w:color="000001"/>
              <w:right w:val="single" w:sz="8" w:space="0" w:color="000001"/>
              <w:insideV w:val="single" w:sz="8" w:space="0" w:color="000001"/>
            </w:tcBorders>
            <w:shd w:color="auto" w:fill="FFFFFF" w:val="clear"/>
            <w:tcMar>
              <w:left w:w="20" w:type="dxa"/>
            </w:tcMar>
            <w:vAlign w:val="center"/>
          </w:tcPr>
          <w:p>
            <w:pPr>
              <w:pStyle w:val="Normal"/>
              <w:spacing w:lineRule="auto" w:line="240" w:before="0" w:after="0"/>
              <w:rPr/>
            </w:pPr>
            <w:r>
              <w:rPr/>
            </w:r>
          </w:p>
        </w:tc>
        <w:tc>
          <w:tcPr>
            <w:tcW w:w="863" w:type="dxa"/>
            <w:tcBorders>
              <w:left w:val="single" w:sz="8" w:space="0" w:color="000001"/>
              <w:right w:val="single" w:sz="16" w:space="0" w:color="000001"/>
              <w:insideV w:val="single" w:sz="16" w:space="0" w:color="000001"/>
            </w:tcBorders>
            <w:shd w:color="auto" w:fill="FFFFFF" w:val="clear"/>
            <w:tcMar>
              <w:left w:w="20" w:type="dxa"/>
            </w:tcMar>
            <w:vAlign w:val="center"/>
          </w:tcPr>
          <w:p>
            <w:pPr>
              <w:pStyle w:val="Normal"/>
              <w:spacing w:lineRule="auto" w:line="240" w:before="0" w:after="0"/>
              <w:rPr/>
            </w:pPr>
            <w:r>
              <w:rPr/>
            </w:r>
          </w:p>
        </w:tc>
      </w:tr>
      <w:tr>
        <w:trPr>
          <w:tblHeader w:val="true"/>
          <w:trHeight w:val="140" w:hRule="atLeast"/>
          <w:cantSplit w:val="true"/>
        </w:trPr>
        <w:tc>
          <w:tcPr>
            <w:tcW w:w="622" w:type="dxa"/>
            <w:vMerge w:val="continue"/>
            <w:tcBorders>
              <w:top w:val="single" w:sz="16" w:space="0" w:color="000001"/>
              <w:left w:val="single" w:sz="16" w:space="0" w:color="000001"/>
              <w:bottom w:val="single" w:sz="16" w:space="0" w:color="000001"/>
              <w:insideH w:val="single" w:sz="16" w:space="0" w:color="000001"/>
            </w:tcBorders>
            <w:shd w:color="auto" w:fill="FFFFFF" w:val="clear"/>
            <w:tcMar>
              <w:left w:w="10" w:type="dxa"/>
            </w:tcMar>
          </w:tcPr>
          <w:p>
            <w:pPr>
              <w:pStyle w:val="Normal"/>
              <w:spacing w:lineRule="auto" w:line="240" w:before="0" w:after="0"/>
              <w:rPr/>
            </w:pPr>
            <w:r>
              <w:rPr/>
            </w:r>
          </w:p>
        </w:tc>
        <w:tc>
          <w:tcPr>
            <w:tcW w:w="1087" w:type="dxa"/>
            <w:tcBorders>
              <w:bottom w:val="single" w:sz="16" w:space="0" w:color="000001"/>
              <w:right w:val="single" w:sz="16" w:space="0" w:color="000001"/>
              <w:insideH w:val="single" w:sz="16" w:space="0" w:color="000001"/>
              <w:insideV w:val="single" w:sz="16" w:space="0" w:color="000001"/>
            </w:tcBorders>
            <w:shd w:color="auto" w:fill="FFFFFF" w:val="clear"/>
          </w:tcPr>
          <w:p>
            <w:pPr>
              <w:pStyle w:val="Normal"/>
              <w:spacing w:lineRule="auto" w:line="240" w:before="0" w:after="0"/>
              <w:rPr>
                <w:color w:val="000000"/>
                <w:sz w:val="18"/>
                <w:szCs w:val="18"/>
              </w:rPr>
            </w:pPr>
            <w:r>
              <w:rPr>
                <w:color w:val="000000"/>
                <w:sz w:val="18"/>
                <w:szCs w:val="18"/>
              </w:rPr>
              <w:t>Total</w:t>
            </w:r>
          </w:p>
        </w:tc>
        <w:tc>
          <w:tcPr>
            <w:tcW w:w="1246" w:type="dxa"/>
            <w:tcBorders>
              <w:left w:val="single" w:sz="16" w:space="0" w:color="000001"/>
              <w:bottom w:val="single" w:sz="16" w:space="0" w:color="000001"/>
              <w:right w:val="single" w:sz="8" w:space="0" w:color="000001"/>
              <w:insideH w:val="single" w:sz="16" w:space="0" w:color="000001"/>
              <w:insideV w:val="single" w:sz="8" w:space="0" w:color="000001"/>
            </w:tcBorders>
            <w:shd w:color="auto" w:fill="FFFFFF" w:val="clear"/>
            <w:tcMar>
              <w:left w:w="10" w:type="dxa"/>
            </w:tcMar>
          </w:tcPr>
          <w:p>
            <w:pPr>
              <w:pStyle w:val="Normal"/>
              <w:spacing w:lineRule="auto" w:line="240" w:before="0" w:after="0"/>
              <w:rPr>
                <w:color w:val="000000"/>
                <w:sz w:val="18"/>
                <w:szCs w:val="18"/>
              </w:rPr>
            </w:pPr>
            <w:r>
              <w:rPr>
                <w:color w:val="000000"/>
                <w:sz w:val="18"/>
                <w:szCs w:val="18"/>
              </w:rPr>
              <w:t>80.601</w:t>
            </w:r>
          </w:p>
        </w:tc>
        <w:tc>
          <w:tcPr>
            <w:tcW w:w="862" w:type="dxa"/>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tcPr>
          <w:p>
            <w:pPr>
              <w:pStyle w:val="Normal"/>
              <w:spacing w:lineRule="auto" w:line="240" w:before="0" w:after="0"/>
              <w:rPr>
                <w:color w:val="000000"/>
                <w:sz w:val="18"/>
                <w:szCs w:val="18"/>
              </w:rPr>
            </w:pPr>
            <w:r>
              <w:rPr>
                <w:color w:val="000000"/>
                <w:sz w:val="18"/>
                <w:szCs w:val="18"/>
              </w:rPr>
              <w:t>40</w:t>
            </w:r>
          </w:p>
        </w:tc>
        <w:tc>
          <w:tcPr>
            <w:tcW w:w="1197" w:type="dxa"/>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center"/>
          </w:tcPr>
          <w:p>
            <w:pPr>
              <w:pStyle w:val="Normal"/>
              <w:spacing w:lineRule="auto" w:line="240" w:before="0" w:after="0"/>
              <w:rPr/>
            </w:pPr>
            <w:r>
              <w:rPr/>
            </w:r>
          </w:p>
        </w:tc>
        <w:tc>
          <w:tcPr>
            <w:tcW w:w="864" w:type="dxa"/>
            <w:tcBorders>
              <w:left w:val="single" w:sz="8" w:space="0" w:color="000001"/>
              <w:bottom w:val="single" w:sz="16" w:space="0" w:color="000001"/>
              <w:right w:val="single" w:sz="8" w:space="0" w:color="000001"/>
              <w:insideH w:val="single" w:sz="16" w:space="0" w:color="000001"/>
              <w:insideV w:val="single" w:sz="8" w:space="0" w:color="000001"/>
            </w:tcBorders>
            <w:shd w:color="auto" w:fill="FFFFFF" w:val="clear"/>
            <w:tcMar>
              <w:left w:w="20" w:type="dxa"/>
            </w:tcMar>
            <w:vAlign w:val="center"/>
          </w:tcPr>
          <w:p>
            <w:pPr>
              <w:pStyle w:val="Normal"/>
              <w:spacing w:lineRule="auto" w:line="240" w:before="0" w:after="0"/>
              <w:rPr/>
            </w:pPr>
            <w:r>
              <w:rPr/>
            </w:r>
          </w:p>
        </w:tc>
        <w:tc>
          <w:tcPr>
            <w:tcW w:w="863" w:type="dxa"/>
            <w:tcBorders>
              <w:left w:val="single" w:sz="8" w:space="0" w:color="000001"/>
              <w:bottom w:val="single" w:sz="16" w:space="0" w:color="000001"/>
              <w:right w:val="single" w:sz="16" w:space="0" w:color="000001"/>
              <w:insideH w:val="single" w:sz="16" w:space="0" w:color="000001"/>
              <w:insideV w:val="single" w:sz="16" w:space="0" w:color="000001"/>
            </w:tcBorders>
            <w:shd w:color="auto" w:fill="FFFFFF" w:val="clear"/>
            <w:tcMar>
              <w:left w:w="20" w:type="dxa"/>
            </w:tcMar>
            <w:vAlign w:val="center"/>
          </w:tcPr>
          <w:p>
            <w:pPr>
              <w:pStyle w:val="Normal"/>
              <w:spacing w:lineRule="auto" w:line="240" w:before="0" w:after="0"/>
              <w:rPr/>
            </w:pPr>
            <w:r>
              <w:rPr/>
            </w:r>
          </w:p>
        </w:tc>
      </w:tr>
      <w:tr>
        <w:trPr>
          <w:tblHeader w:val="true"/>
          <w:trHeight w:val="212" w:hRule="atLeast"/>
          <w:cantSplit w:val="true"/>
        </w:trPr>
        <w:tc>
          <w:tcPr>
            <w:tcW w:w="6741" w:type="dxa"/>
            <w:gridSpan w:val="7"/>
            <w:tcBorders/>
            <w:shd w:color="auto" w:fill="FFFFFF" w:val="clear"/>
          </w:tcPr>
          <w:p>
            <w:pPr>
              <w:pStyle w:val="Normal"/>
              <w:spacing w:lineRule="auto" w:line="240" w:before="0" w:after="0"/>
              <w:rPr>
                <w:color w:val="000000"/>
                <w:sz w:val="18"/>
                <w:szCs w:val="18"/>
              </w:rPr>
            </w:pPr>
            <w:r>
              <w:rPr>
                <w:color w:val="000000"/>
                <w:sz w:val="18"/>
                <w:szCs w:val="18"/>
              </w:rPr>
              <w:t>a. Predictors: (Constant), LN_INDEKS_ECKEL, LN_NPM, LN_ROE, LN_DER</w:t>
            </w:r>
          </w:p>
        </w:tc>
      </w:tr>
      <w:tr>
        <w:trPr>
          <w:trHeight w:val="199" w:hRule="atLeast"/>
          <w:cantSplit w:val="true"/>
        </w:trPr>
        <w:tc>
          <w:tcPr>
            <w:tcW w:w="6741" w:type="dxa"/>
            <w:gridSpan w:val="7"/>
            <w:tcBorders/>
            <w:shd w:color="auto" w:fill="FFFFFF" w:val="clear"/>
          </w:tcPr>
          <w:p>
            <w:pPr>
              <w:pStyle w:val="Normal"/>
              <w:spacing w:lineRule="auto" w:line="240" w:before="0" w:after="0"/>
              <w:rPr>
                <w:color w:val="000000"/>
                <w:sz w:val="18"/>
                <w:szCs w:val="18"/>
              </w:rPr>
            </w:pPr>
            <w:r>
              <w:rPr>
                <w:color w:val="000000"/>
                <w:sz w:val="18"/>
                <w:szCs w:val="18"/>
              </w:rPr>
              <w:t>b. Dependent Variable: LN_RETURN</w:t>
            </w:r>
          </w:p>
          <w:p>
            <w:pPr>
              <w:pStyle w:val="NoSpacing1"/>
              <w:spacing w:lineRule="auto" w:line="240" w:before="0" w:after="200"/>
              <w:contextualSpacing/>
              <w:rPr>
                <w:rFonts w:ascii="Times New Roman" w:hAnsi="Times New Roman"/>
                <w:i/>
                <w:i/>
                <w:sz w:val="24"/>
                <w:szCs w:val="24"/>
              </w:rPr>
            </w:pPr>
            <w:r>
              <w:rPr>
                <w:rFonts w:ascii="Times New Roman" w:hAnsi="Times New Roman"/>
                <w:i/>
                <w:sz w:val="24"/>
                <w:szCs w:val="24"/>
                <w:lang w:val="id-ID"/>
              </w:rPr>
              <w:t>Sumber : Pengolahan dilakukan dengan SPSS 20</w:t>
            </w:r>
          </w:p>
        </w:tc>
      </w:tr>
    </w:tbl>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60" w:after="200"/>
        <w:jc w:val="both"/>
        <w:rPr>
          <w:rFonts w:ascii="Times New Roman" w:hAnsi="Times New Roman" w:cs="Times New Roman"/>
          <w:sz w:val="24"/>
          <w:szCs w:val="24"/>
        </w:rPr>
      </w:pPr>
      <w:r>
        <w:rPr>
          <w:rFonts w:cs="Times New Roman" w:ascii="Times New Roman" w:hAnsi="Times New Roman"/>
          <w:sz w:val="24"/>
          <w:szCs w:val="24"/>
        </w:rPr>
        <w:t>Berdasarkan tabel 7, diperoleh nilai signifikan hasil uji F sebesar 0,035 &lt; 0,05 yang menunjukkan bahwa variabel ROA, NPM, DER dan Indeks Eckel secara simultan berpengaruh signifikan terhadap return saham.</w:t>
      </w:r>
    </w:p>
    <w:p>
      <w:pPr>
        <w:pStyle w:val="Normal"/>
        <w:spacing w:before="0" w:after="60"/>
        <w:rPr>
          <w:rFonts w:ascii="Times New Roman" w:hAnsi="Times New Roman" w:cs="Times New Roman"/>
          <w:b/>
          <w:b/>
          <w:sz w:val="24"/>
          <w:szCs w:val="24"/>
        </w:rPr>
      </w:pPr>
      <w:r>
        <w:rPr>
          <w:rFonts w:cs="Times New Roman" w:ascii="Times New Roman" w:hAnsi="Times New Roman"/>
          <w:b/>
          <w:sz w:val="24"/>
          <w:szCs w:val="24"/>
        </w:rPr>
        <w:t>Pembahasan Hasil Pengujian Hipotesis</w:t>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Pembahasan Hipotesis 1-</w:t>
      </w:r>
      <w:r>
        <w:rPr>
          <w:rFonts w:cs="Times New Roman" w:ascii="Times New Roman" w:hAnsi="Times New Roman"/>
          <w:b/>
          <w:i/>
          <w:sz w:val="24"/>
          <w:szCs w:val="24"/>
        </w:rPr>
        <w:t xml:space="preserve"> </w:t>
      </w:r>
      <w:r>
        <w:rPr>
          <w:rFonts w:cs="Times New Roman" w:ascii="Times New Roman" w:hAnsi="Times New Roman"/>
          <w:b/>
          <w:sz w:val="24"/>
          <w:szCs w:val="24"/>
        </w:rPr>
        <w:t>Return On Asset</w:t>
      </w:r>
    </w:p>
    <w:p>
      <w:pPr>
        <w:pStyle w:val="BodyA"/>
        <w:spacing w:lineRule="auto" w:line="360"/>
        <w:ind w:firstLine="720"/>
        <w:jc w:val="both"/>
        <w:rPr>
          <w:rFonts w:ascii="Times New Roman" w:hAnsi="Times New Roman" w:eastAsia="Times New Roman" w:cs="Times New Roman"/>
          <w:sz w:val="24"/>
          <w:szCs w:val="24"/>
        </w:rPr>
      </w:pPr>
      <w:r>
        <w:rPr>
          <w:rFonts w:cs="Times New Roman" w:ascii="Times New Roman" w:hAnsi="Times New Roman"/>
          <w:sz w:val="24"/>
          <w:szCs w:val="24"/>
        </w:rPr>
        <w:t xml:space="preserve">Mengacu tabel 4.7 menunjukkan bahwa variabel profitabilitas yang menggunakan </w:t>
      </w:r>
      <w:r>
        <w:rPr>
          <w:rFonts w:cs="Times New Roman" w:ascii="Times New Roman" w:hAnsi="Times New Roman"/>
          <w:i/>
          <w:sz w:val="24"/>
          <w:szCs w:val="24"/>
        </w:rPr>
        <w:t>Return On Asset</w:t>
      </w:r>
      <w:r>
        <w:rPr>
          <w:rFonts w:cs="Times New Roman" w:ascii="Times New Roman" w:hAnsi="Times New Roman"/>
          <w:sz w:val="24"/>
          <w:szCs w:val="24"/>
        </w:rPr>
        <w:t xml:space="preserve"> memiliki koefisien regresi interaksi sebesar 1.491 dengan tingkat signifikansi sebesar 0.004. Hal ini menunjukkan bahwa tingkat profitabilitas dengan rasio tingkat pengembalian asset memiliki pengaruh yang signifikan terhadap tingkat pengembalian saham. Semakin tinggi ROA maka semakin besar minat investor membeli saham perusahaan. Maka, hal ini menunjukkan bahwa H</w:t>
      </w:r>
      <w:r>
        <w:rPr>
          <w:rFonts w:cs="Times New Roman" w:ascii="Times New Roman" w:hAnsi="Times New Roman"/>
          <w:sz w:val="16"/>
          <w:szCs w:val="24"/>
        </w:rPr>
        <w:t>0</w:t>
      </w:r>
      <w:r>
        <w:rPr>
          <w:rFonts w:cs="Times New Roman" w:ascii="Times New Roman" w:hAnsi="Times New Roman"/>
          <w:sz w:val="24"/>
          <w:szCs w:val="24"/>
        </w:rPr>
        <w:t xml:space="preserve"> tidak diterima dan H</w:t>
      </w:r>
      <w:r>
        <w:rPr>
          <w:rFonts w:cs="Times New Roman" w:ascii="Times New Roman" w:hAnsi="Times New Roman"/>
          <w:sz w:val="18"/>
          <w:szCs w:val="24"/>
        </w:rPr>
        <w:t>1</w:t>
      </w:r>
      <w:r>
        <w:rPr>
          <w:rFonts w:cs="Times New Roman" w:ascii="Times New Roman" w:hAnsi="Times New Roman"/>
          <w:sz w:val="24"/>
          <w:szCs w:val="24"/>
        </w:rPr>
        <w:t xml:space="preserve"> diterima, sehingga variabel ROA memiliki pengaruh terhadap tingkat pengembalian saham. Hal ini menunjukkan hasil yang sama dengan penelitian terdahulu yang dilakukan oleh </w:t>
      </w:r>
      <w:r>
        <w:rPr>
          <w:rFonts w:eastAsia="Times New Roman" w:cs="Times New Roman" w:ascii="Times New Roman" w:hAnsi="Times New Roman"/>
          <w:sz w:val="24"/>
          <w:szCs w:val="24"/>
        </w:rPr>
        <w:t xml:space="preserve">Hastuti (2017), menyatakan bahwa ROA mempunyai pengaruh positif dan signifikan terhadap </w:t>
      </w:r>
      <w:r>
        <w:rPr>
          <w:rFonts w:eastAsia="Times New Roman" w:cs="Times New Roman" w:ascii="Times New Roman" w:hAnsi="Times New Roman"/>
          <w:i/>
          <w:sz w:val="24"/>
          <w:szCs w:val="24"/>
        </w:rPr>
        <w:t>return</w:t>
      </w:r>
      <w:r>
        <w:rPr>
          <w:rFonts w:eastAsia="Times New Roman" w:cs="Times New Roman" w:ascii="Times New Roman" w:hAnsi="Times New Roman"/>
          <w:sz w:val="24"/>
          <w:szCs w:val="24"/>
        </w:rPr>
        <w:t xml:space="preserve"> saham. Teori Mogdiliani dan Miller (MM) menyatakan nilai perusahaan ditentukan oleh </w:t>
      </w:r>
      <w:r>
        <w:rPr>
          <w:rFonts w:eastAsia="Times New Roman" w:cs="Times New Roman" w:ascii="Times New Roman" w:hAnsi="Times New Roman"/>
          <w:i/>
          <w:sz w:val="24"/>
          <w:szCs w:val="24"/>
        </w:rPr>
        <w:t>earning power</w:t>
      </w:r>
      <w:r>
        <w:rPr>
          <w:rFonts w:eastAsia="Times New Roman" w:cs="Times New Roman" w:ascii="Times New Roman" w:hAnsi="Times New Roman"/>
          <w:sz w:val="24"/>
          <w:szCs w:val="24"/>
        </w:rPr>
        <w:t xml:space="preserve"> dari asset perusahaan. Maka semakin tinggi net income perusahaan maka semakin tinggi ROA dan semakin tinggi return saham. Penelitian ini tidak sejalan dengan Aryanti (2016) dimana hasil penelitiannya mengungkapkan ROA tidak berpengaruh terhadap return saham. </w:t>
      </w:r>
    </w:p>
    <w:p>
      <w:pPr>
        <w:pStyle w:val="Normal"/>
        <w:spacing w:lineRule="auto" w:line="360"/>
        <w:jc w:val="both"/>
        <w:rPr/>
      </w:pPr>
      <w:r>
        <w:rPr/>
        <w:tab/>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Pembahasan Hipotesis 2-</w:t>
      </w:r>
      <w:r>
        <w:rPr>
          <w:rFonts w:cs="Times New Roman" w:ascii="Times New Roman" w:hAnsi="Times New Roman"/>
          <w:b/>
          <w:i/>
          <w:sz w:val="24"/>
          <w:szCs w:val="24"/>
        </w:rPr>
        <w:t xml:space="preserve"> </w:t>
      </w:r>
      <w:r>
        <w:rPr>
          <w:rFonts w:cs="Times New Roman" w:ascii="Times New Roman" w:hAnsi="Times New Roman"/>
          <w:b/>
          <w:sz w:val="24"/>
          <w:szCs w:val="24"/>
        </w:rPr>
        <w:t>Debt Equity Ratio</w:t>
      </w:r>
    </w:p>
    <w:p>
      <w:pPr>
        <w:pStyle w:val="BodyA"/>
        <w:spacing w:lineRule="auto" w:line="360"/>
        <w:ind w:firstLine="720"/>
        <w:jc w:val="both"/>
        <w:rPr>
          <w:rFonts w:ascii="Times New Roman" w:hAnsi="Times New Roman" w:cs="Times New Roman"/>
          <w:sz w:val="24"/>
          <w:szCs w:val="24"/>
        </w:rPr>
      </w:pPr>
      <w:r>
        <w:rPr>
          <w:rFonts w:cs="Times New Roman" w:ascii="Times New Roman" w:hAnsi="Times New Roman"/>
          <w:sz w:val="24"/>
          <w:szCs w:val="24"/>
        </w:rPr>
        <w:t xml:space="preserve">Hipotesis 2 menyatakan bahwa variabel solvabilitas yang menggunakan </w:t>
      </w:r>
      <w:r>
        <w:rPr>
          <w:rFonts w:cs="Times New Roman" w:ascii="Times New Roman" w:hAnsi="Times New Roman"/>
          <w:i/>
          <w:sz w:val="24"/>
          <w:szCs w:val="24"/>
        </w:rPr>
        <w:t>Debt Equity Ratio</w:t>
      </w:r>
      <w:r>
        <w:rPr>
          <w:rFonts w:cs="Times New Roman" w:ascii="Times New Roman" w:hAnsi="Times New Roman"/>
          <w:sz w:val="24"/>
          <w:szCs w:val="24"/>
        </w:rPr>
        <w:t xml:space="preserve"> memiliki pengaruh terhadap tingkat pengembalian saham. Untuk koefisien regresi dari tingkat leverage dan tingkat pengembalian saham yaitu -1.230 dengan tingkat signifikansi 0.027. Dari hasil yang dapat dilihat pada tabel 4.7 menunjukkan bahwa H</w:t>
      </w:r>
      <w:r>
        <w:rPr>
          <w:rFonts w:cs="Times New Roman" w:ascii="Times New Roman" w:hAnsi="Times New Roman"/>
          <w:sz w:val="16"/>
          <w:szCs w:val="24"/>
        </w:rPr>
        <w:t>0</w:t>
      </w:r>
      <w:r>
        <w:rPr>
          <w:rFonts w:cs="Times New Roman" w:ascii="Times New Roman" w:hAnsi="Times New Roman"/>
          <w:sz w:val="24"/>
          <w:szCs w:val="24"/>
        </w:rPr>
        <w:t xml:space="preserve"> tidak diterima dan H</w:t>
      </w:r>
      <w:r>
        <w:rPr>
          <w:rFonts w:cs="Times New Roman" w:ascii="Times New Roman" w:hAnsi="Times New Roman"/>
          <w:sz w:val="16"/>
          <w:szCs w:val="24"/>
        </w:rPr>
        <w:t>2</w:t>
      </w:r>
      <w:r>
        <w:rPr>
          <w:rFonts w:cs="Times New Roman" w:ascii="Times New Roman" w:hAnsi="Times New Roman"/>
          <w:sz w:val="24"/>
          <w:szCs w:val="24"/>
        </w:rPr>
        <w:t xml:space="preserve"> diterima, sehingga variabel leverage memiliki pengaruh terhadap tingkat pengembalian saham. Hal ini menunjukkan adanya hasil yang sama dengan penelitian terdahulu yang dilakukan oleh oleh Fakhruddin dan Hardianto   dalam Ariani dan Sudhiartha (2017), menyatakan bahwa nilai DER memiliki pengaruh terhadap </w:t>
      </w:r>
      <w:r>
        <w:rPr>
          <w:rFonts w:cs="Times New Roman" w:ascii="Times New Roman" w:hAnsi="Times New Roman"/>
          <w:i/>
          <w:sz w:val="24"/>
          <w:szCs w:val="24"/>
        </w:rPr>
        <w:t>return</w:t>
      </w:r>
      <w:r>
        <w:rPr>
          <w:rFonts w:cs="Times New Roman" w:ascii="Times New Roman" w:hAnsi="Times New Roman"/>
          <w:sz w:val="24"/>
          <w:szCs w:val="24"/>
        </w:rPr>
        <w:t xml:space="preserve"> saham dikarenakan Semakin rendah nilai dari DER maka lebih baik atau semakin aman kewajiban yang harus dipenuhi oleh modal sendiri. Oleh sebab itu, investor akan lebih tertarik apabila suatu perusahaan memiliki nilai DER yang kecil, sehingga berdampak pada harga saham yang akan meningkat.</w:t>
      </w:r>
    </w:p>
    <w:p>
      <w:pPr>
        <w:pStyle w:val="Normal"/>
        <w:rPr>
          <w:rFonts w:eastAsia="Times New Roman"/>
          <w:color w:val="000000"/>
          <w:u w:val="none" w:color="000000"/>
          <w:lang w:eastAsia="id-ID"/>
        </w:rPr>
      </w:pPr>
      <w:r>
        <w:rPr>
          <w:rFonts w:eastAsia="Times New Roman"/>
          <w:color w:val="000000"/>
          <w:u w:val="none" w:color="000000"/>
          <w:lang w:eastAsia="id-ID"/>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Pembahasan hipotesis 3-</w:t>
      </w:r>
      <w:r>
        <w:rPr>
          <w:rFonts w:cs="Times New Roman" w:ascii="Times New Roman" w:hAnsi="Times New Roman"/>
          <w:b/>
          <w:i/>
          <w:sz w:val="24"/>
          <w:szCs w:val="24"/>
        </w:rPr>
        <w:t xml:space="preserve"> </w:t>
      </w:r>
      <w:r>
        <w:rPr>
          <w:rFonts w:cs="Times New Roman" w:ascii="Times New Roman" w:hAnsi="Times New Roman"/>
          <w:b/>
          <w:sz w:val="24"/>
          <w:szCs w:val="24"/>
        </w:rPr>
        <w:t>Net Profit Margin</w:t>
      </w:r>
    </w:p>
    <w:p>
      <w:pPr>
        <w:pStyle w:val="Normal"/>
        <w:spacing w:lineRule="auto" w:line="360"/>
        <w:ind w:firstLine="720"/>
        <w:jc w:val="both"/>
        <w:rPr>
          <w:rFonts w:ascii="Times New Roman" w:hAnsi="Times New Roman" w:cs="Times New Roman"/>
          <w:sz w:val="24"/>
          <w:szCs w:val="24"/>
        </w:rPr>
      </w:pPr>
      <w:r>
        <w:rPr>
          <w:rFonts w:cs="Times New Roman" w:ascii="Times New Roman" w:hAnsi="Times New Roman"/>
          <w:sz w:val="24"/>
          <w:szCs w:val="24"/>
        </w:rPr>
        <w:t xml:space="preserve">Hipotesis 3 menyatakan bahwa variabel profitabilitas menggunakan rasio </w:t>
      </w:r>
      <w:r>
        <w:rPr>
          <w:rFonts w:cs="Times New Roman" w:ascii="Times New Roman" w:hAnsi="Times New Roman"/>
          <w:i/>
          <w:sz w:val="24"/>
          <w:szCs w:val="24"/>
        </w:rPr>
        <w:t>Net Profit Margin</w:t>
      </w:r>
      <w:r>
        <w:rPr>
          <w:rFonts w:cs="Times New Roman" w:ascii="Times New Roman" w:hAnsi="Times New Roman"/>
          <w:sz w:val="24"/>
          <w:szCs w:val="24"/>
        </w:rPr>
        <w:t xml:space="preserve"> tidak memiliki pengaruh terhadap tingkat pengembalian saham. Berdasarkan hasil pengujian hipotesis dari tabel 4.7, diketahui bahwa koefisien regresi variabel interaksi antara variabel NPM dengan tingkat pengembalian saham sebesar 0.16 dengan tingkat signifikansi sebesar 0.411. Hal tersebut menunjukkan bahwa H</w:t>
      </w:r>
      <w:r>
        <w:rPr>
          <w:rFonts w:cs="Times New Roman" w:ascii="Times New Roman" w:hAnsi="Times New Roman"/>
          <w:sz w:val="16"/>
          <w:szCs w:val="24"/>
        </w:rPr>
        <w:t xml:space="preserve">0 </w:t>
      </w:r>
      <w:r>
        <w:rPr>
          <w:rFonts w:cs="Times New Roman" w:ascii="Times New Roman" w:hAnsi="Times New Roman"/>
          <w:sz w:val="24"/>
          <w:szCs w:val="24"/>
        </w:rPr>
        <w:t>diterima dan H</w:t>
      </w:r>
      <w:r>
        <w:rPr>
          <w:rFonts w:cs="Times New Roman" w:ascii="Times New Roman" w:hAnsi="Times New Roman"/>
          <w:sz w:val="16"/>
          <w:szCs w:val="24"/>
        </w:rPr>
        <w:t>3</w:t>
      </w:r>
      <w:r>
        <w:rPr>
          <w:rFonts w:cs="Times New Roman" w:ascii="Times New Roman" w:hAnsi="Times New Roman"/>
          <w:sz w:val="24"/>
          <w:szCs w:val="24"/>
        </w:rPr>
        <w:t xml:space="preserve"> tidak diterima, sehingga variabel NPM tidak memiliki pengaruh terhadap tingkat pengembalian saham. Hal ini memiliki hasil yang berbeda dengan hasil penelitian terdahulu yang dilakukan oleh </w:t>
      </w:r>
      <w:r>
        <w:rPr>
          <w:rFonts w:cs="Times New Roman" w:ascii="Times New Roman" w:hAnsi="Times New Roman"/>
          <w:color w:val="000000"/>
          <w:sz w:val="24"/>
          <w:szCs w:val="24"/>
          <w:lang w:val="pt-PT"/>
        </w:rPr>
        <w:t xml:space="preserve">Nurhakim, Yunita, dan Iradianty (2016), yang menyatakan bahwa NPM berpengaruh positif dan signifikan terhadap return saham. NPM tidak berpengaruh terhadap tingkat pengembalian saham dikarenakan NPM hanya berfokus terhadap penjualan perusahaan, sedangkan investor lebih melihat </w:t>
      </w:r>
      <w:r>
        <w:rPr>
          <w:rFonts w:cs="Times New Roman" w:ascii="Times New Roman" w:hAnsi="Times New Roman"/>
          <w:i/>
          <w:color w:val="000000"/>
          <w:sz w:val="24"/>
          <w:szCs w:val="24"/>
          <w:lang w:val="pt-PT"/>
        </w:rPr>
        <w:t>button line</w:t>
      </w:r>
      <w:r>
        <w:rPr>
          <w:rFonts w:cs="Times New Roman" w:ascii="Times New Roman" w:hAnsi="Times New Roman"/>
          <w:color w:val="000000"/>
          <w:sz w:val="24"/>
          <w:szCs w:val="24"/>
          <w:lang w:val="pt-PT"/>
        </w:rPr>
        <w:t xml:space="preserve"> perusahaan yaitu dilihat dari nilai </w:t>
      </w:r>
      <w:r>
        <w:rPr>
          <w:rFonts w:cs="Times New Roman" w:ascii="Times New Roman" w:hAnsi="Times New Roman"/>
          <w:i/>
          <w:color w:val="000000"/>
          <w:sz w:val="24"/>
          <w:szCs w:val="24"/>
          <w:lang w:val="pt-PT"/>
        </w:rPr>
        <w:t>earning per share</w:t>
      </w:r>
      <w:r>
        <w:rPr>
          <w:rFonts w:cs="Times New Roman" w:ascii="Times New Roman" w:hAnsi="Times New Roman"/>
          <w:color w:val="000000"/>
          <w:sz w:val="24"/>
          <w:szCs w:val="24"/>
          <w:lang w:val="pt-PT"/>
        </w:rPr>
        <w:t xml:space="preserve"> dan nilai buku pada laporan keuangan perusahaan. NPM tidak berpengaruh karena perusahaan masih memiliki biaya operasional yang tinggi serta pembayaran pinjaman membuat NPM tidak berpengaruh terhadap return saham.</w:t>
      </w:r>
    </w:p>
    <w:p>
      <w:pPr>
        <w:pStyle w:val="Normal"/>
        <w:spacing w:lineRule="auto" w:line="360"/>
        <w:ind w:firstLine="720"/>
        <w:jc w:val="center"/>
        <w:rPr>
          <w:b/>
          <w:b/>
        </w:rPr>
      </w:pPr>
      <w:r>
        <w:rPr>
          <w:b/>
        </w:rPr>
      </w:r>
    </w:p>
    <w:p>
      <w:pPr>
        <w:pStyle w:val="Normal"/>
        <w:spacing w:before="0" w:after="120"/>
        <w:rPr>
          <w:rFonts w:ascii="Times New Roman" w:hAnsi="Times New Roman" w:cs="Times New Roman"/>
          <w:b/>
          <w:b/>
          <w:sz w:val="24"/>
          <w:szCs w:val="24"/>
        </w:rPr>
      </w:pPr>
      <w:r>
        <w:rPr>
          <w:rFonts w:cs="Times New Roman" w:ascii="Times New Roman" w:hAnsi="Times New Roman"/>
          <w:b/>
          <w:sz w:val="24"/>
          <w:szCs w:val="24"/>
        </w:rPr>
        <w:t>Pembahasan hipotesis 4-Index Eckel</w:t>
      </w:r>
    </w:p>
    <w:p>
      <w:pPr>
        <w:pStyle w:val="BodyA"/>
        <w:spacing w:lineRule="auto" w:line="360"/>
        <w:ind w:firstLine="720"/>
        <w:jc w:val="both"/>
        <w:rPr>
          <w:rFonts w:ascii="Times New Roman" w:hAnsi="Times New Roman" w:eastAsia="Times New Roman" w:cs="Times New Roman"/>
          <w:sz w:val="24"/>
          <w:szCs w:val="24"/>
        </w:rPr>
      </w:pPr>
      <w:r>
        <w:rPr>
          <w:rFonts w:cs="Times New Roman" w:ascii="Times New Roman" w:hAnsi="Times New Roman"/>
          <w:sz w:val="24"/>
          <w:szCs w:val="24"/>
        </w:rPr>
        <w:t>Hipotesis 4 menyatakan bahwa variabel perataan laba memiliki pengaruh terhadap tingkat pengembalian saham. Berdasarkan hasil pengujian hipotesis dari tabel 4.7, diketahui bahwa koefisien regresi variabel interaksi antara variabel perataan laba dan tingkat pengembalian saham sebesar 0.125 dengan tingkat signifikansi sebesar 0.431. Hal tersebut menunjukkan bahwa H</w:t>
      </w:r>
      <w:r>
        <w:rPr>
          <w:rFonts w:cs="Times New Roman" w:ascii="Times New Roman" w:hAnsi="Times New Roman"/>
          <w:sz w:val="16"/>
          <w:szCs w:val="24"/>
        </w:rPr>
        <w:t>0</w:t>
      </w:r>
      <w:r>
        <w:rPr>
          <w:rFonts w:cs="Times New Roman" w:ascii="Times New Roman" w:hAnsi="Times New Roman"/>
          <w:sz w:val="24"/>
          <w:szCs w:val="24"/>
        </w:rPr>
        <w:t xml:space="preserve"> diterima dan H</w:t>
      </w:r>
      <w:r>
        <w:rPr>
          <w:rFonts w:cs="Times New Roman" w:ascii="Times New Roman" w:hAnsi="Times New Roman"/>
          <w:sz w:val="16"/>
          <w:szCs w:val="24"/>
        </w:rPr>
        <w:t>4</w:t>
      </w:r>
      <w:r>
        <w:rPr>
          <w:rFonts w:cs="Times New Roman" w:ascii="Times New Roman" w:hAnsi="Times New Roman"/>
          <w:sz w:val="24"/>
          <w:szCs w:val="24"/>
        </w:rPr>
        <w:t xml:space="preserve"> tidak diterima, sehingga variabel perataan laba tidak memiliki pengaruh terhadap tingkat pengembalian saham. Hal ini memiliki hasil yang sama dengan pernyataan Panggabean dan Novita (2012) yang</w:t>
      </w:r>
      <w:r>
        <w:rPr>
          <w:rFonts w:eastAsia="Times New Roman" w:cs="Times New Roman" w:ascii="Times New Roman" w:hAnsi="Times New Roman"/>
          <w:sz w:val="24"/>
          <w:szCs w:val="24"/>
        </w:rPr>
        <w:t xml:space="preserve"> mengemukakan bahwa dengan melakukan perataan laba, investor mudah untuk memprediksi return dari saham untuk masa yang akan datang. Hasil penelitian Panggabean dan Novita memiliki hasil bahwa perataan laba tidak memiliki pengaruh terhadap </w:t>
      </w:r>
      <w:r>
        <w:rPr>
          <w:rFonts w:eastAsia="Times New Roman" w:cs="Times New Roman" w:ascii="Times New Roman" w:hAnsi="Times New Roman"/>
          <w:i/>
          <w:sz w:val="24"/>
          <w:szCs w:val="24"/>
        </w:rPr>
        <w:t>return</w:t>
      </w:r>
      <w:r>
        <w:rPr>
          <w:rFonts w:eastAsia="Times New Roman" w:cs="Times New Roman" w:ascii="Times New Roman" w:hAnsi="Times New Roman"/>
          <w:sz w:val="24"/>
          <w:szCs w:val="24"/>
        </w:rPr>
        <w:t xml:space="preserve"> saham.</w:t>
      </w:r>
    </w:p>
    <w:p>
      <w:pPr>
        <w:pStyle w:val="BodyA"/>
        <w:spacing w:lineRule="auto" w:line="360"/>
        <w:ind w:firstLine="7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Perataan laba tidak memiliki pengaruh terhadap </w:t>
      </w:r>
      <w:r>
        <w:rPr>
          <w:rFonts w:eastAsia="Times New Roman" w:cs="Times New Roman" w:ascii="Times New Roman" w:hAnsi="Times New Roman"/>
          <w:i/>
          <w:sz w:val="24"/>
          <w:szCs w:val="24"/>
        </w:rPr>
        <w:t>return</w:t>
      </w:r>
      <w:r>
        <w:rPr>
          <w:rFonts w:eastAsia="Times New Roman" w:cs="Times New Roman" w:ascii="Times New Roman" w:hAnsi="Times New Roman"/>
          <w:sz w:val="24"/>
          <w:szCs w:val="24"/>
        </w:rPr>
        <w:t xml:space="preserve"> saham dikarenakan pada masa sekarang ini, investor mengetahui banyaknya manajer perusahaan yang melakukan tindakan manipulasi laba untuk menghasilkan informasi laba perusahaan tersebut menjadi baik, oleh karena itu investor pada masa sekarang ini kurang memperhatikan perataan laba perusahaan dalam melakukan investasinya.</w:t>
      </w:r>
    </w:p>
    <w:p>
      <w:pPr>
        <w:pStyle w:val="BodyA"/>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BodyA"/>
        <w:spacing w:lineRule="auto" w:line="360"/>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KESIMPULAN DAN SARAN</w:t>
      </w:r>
    </w:p>
    <w:p>
      <w:pPr>
        <w:pStyle w:val="BodyA"/>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Penelitian ini mencoba untuk meneliti apakah Return On Asset, Debt to Equity Ratio, Net Profit Margin dan Index Eckel berpengaruh terhadap return saham pada perusahaan manufaktur yang terdaftar di BEI periode 2012-2016.</w:t>
      </w:r>
    </w:p>
    <w:p>
      <w:pPr>
        <w:pStyle w:val="BodyA"/>
        <w:numPr>
          <w:ilvl w:val="0"/>
          <w:numId w:val="2"/>
        </w:numPr>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Hasil analisis menggunakan analisa regresi terhadap ROA didapat bahwa Return On Asset berpengaruh signifikan terhadap return saham. Hal ini ditunjukkan dengan nilai ROA sebesar 0,004 yang berada dibawah 0,05 (tingkat signifikansi 5%). Sehingga dapat disimpulkan bahwa hipotesis yang menyatakan bahwa ROA berpengaruh signifikan terhadap return saham diterima.</w:t>
      </w:r>
    </w:p>
    <w:p>
      <w:pPr>
        <w:pStyle w:val="BodyA"/>
        <w:numPr>
          <w:ilvl w:val="0"/>
          <w:numId w:val="2"/>
        </w:numPr>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Hasil analisis menggunakan analisa regresi terhadap DER didapat bahwa Debt to Equity berpengaruh signifikan terhadap return saham. Hal ini ditunjukkan dengan nilai DER sebesar 0,027 yang berada dibawah 0,05 (tingkat signifikansi 5%). Sehingga dapat disimpulkan bahwa hipotesis yang menyatakan bahwa DER berpengaruh signifikan terhadap return saham diterima.</w:t>
      </w:r>
    </w:p>
    <w:p>
      <w:pPr>
        <w:pStyle w:val="BodyA"/>
        <w:numPr>
          <w:ilvl w:val="0"/>
          <w:numId w:val="2"/>
        </w:numPr>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Hasil analisis menggunakan analisa regresi terhadap NPM didapat bahwa Net Profit Margin tidak berpengaruh signifikan terhadap return saham. Hal ini ditunjukkan dengan nilai NPM sebesar 0,411 yang berada diatas 0,05 (tingkat signifikansi 5%). Sehingga dapat disimpulkan bahwa hipotesis yang menyatakan bahwa NPM berpengaruh signifikan terhadap return saham ditolak.</w:t>
      </w:r>
    </w:p>
    <w:p>
      <w:pPr>
        <w:pStyle w:val="BodyA"/>
        <w:numPr>
          <w:ilvl w:val="0"/>
          <w:numId w:val="2"/>
        </w:numPr>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Hasil analisis menggunakan analisa regresi terhadap Index Eckel didapat bahwa Index Eckel tidak berpengaruh signifikan terhadap return saham. Hal ini ditunjukkan dengan nilai NPM sebesar 0,431 yang berada diatas 0,05 (tingkat signifikansi 5%). Sehingga dapat disimpulkan bahwa hipotesis yang menyatakan bahwa Index Eckel berpengaruh signifikan terhadap return saham ditolak.</w:t>
      </w:r>
    </w:p>
    <w:p>
      <w:pPr>
        <w:pStyle w:val="BodyA"/>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BodyA"/>
        <w:spacing w:lineRule="auto" w:line="36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SARAN</w:t>
      </w:r>
    </w:p>
    <w:p>
      <w:pPr>
        <w:pStyle w:val="BodyA"/>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Peneliti memberikan saran supaya menambah variabel independent lainnya seperti Faktor Resiko, Return On Equity, Asset Growth, Faktor external perusahaan, menggunakan berbagai industri yang terdaftar di BEI serta menambah tahun penelitian.</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b/>
          <w:b/>
          <w:sz w:val="24"/>
          <w:szCs w:val="24"/>
        </w:rPr>
      </w:pPr>
      <w:r>
        <w:rPr>
          <w:rFonts w:cs="Times New Roman" w:ascii="Times New Roman" w:hAnsi="Times New Roman"/>
          <w:b/>
          <w:sz w:val="24"/>
          <w:szCs w:val="24"/>
        </w:rPr>
        <w:t>DAFTAR PUSTAKA</w:t>
      </w:r>
    </w:p>
    <w:p>
      <w:pPr>
        <w:pStyle w:val="Normal"/>
        <w:spacing w:lineRule="auto" w:line="360" w:beforeAutospacing="1" w:after="200"/>
        <w:ind w:left="480" w:hanging="480"/>
        <w:jc w:val="both"/>
        <w:rPr/>
      </w:pPr>
      <w:r>
        <w:rPr>
          <w:rFonts w:eastAsia="Times New Roman" w:cs="Times New Roman" w:ascii="Times New Roman" w:hAnsi="Times New Roman"/>
        </w:rPr>
        <w:t xml:space="preserve">Acheampong, P., Agalega, E., &amp; Shibu, A. K. (2014). The Effect of Financial Leverage and Market Size On Stock Returns On The Ghana Stock Exchange: Evidence From Selected Stocks In The Manufacturing Sector. </w:t>
      </w:r>
      <w:r>
        <w:rPr>
          <w:rFonts w:eastAsia="Times New Roman" w:cs="Times New Roman" w:ascii="Times New Roman" w:hAnsi="Times New Roman"/>
          <w:i/>
          <w:iCs/>
        </w:rPr>
        <w:t>International Journal Of Financial Research</w:t>
      </w:r>
      <w:r>
        <w:rPr>
          <w:rFonts w:eastAsia="Times New Roman" w:cs="Times New Roman" w:ascii="Times New Roman" w:hAnsi="Times New Roman"/>
        </w:rPr>
        <w:t xml:space="preserve">, </w:t>
      </w:r>
      <w:r>
        <w:rPr>
          <w:rFonts w:eastAsia="Times New Roman" w:cs="Times New Roman" w:ascii="Times New Roman" w:hAnsi="Times New Roman"/>
          <w:i/>
          <w:iCs/>
        </w:rPr>
        <w:t>5</w:t>
      </w:r>
      <w:r>
        <w:rPr>
          <w:rFonts w:eastAsia="Times New Roman" w:cs="Times New Roman" w:ascii="Times New Roman" w:hAnsi="Times New Roman"/>
        </w:rPr>
        <w:t xml:space="preserve">(1), 125–134. Retrieved from </w:t>
      </w:r>
      <w:hyperlink r:id="rId3">
        <w:r>
          <w:rPr>
            <w:rStyle w:val="InternetLink"/>
            <w:rFonts w:eastAsia="Times New Roman" w:cs="Times New Roman" w:ascii="Times New Roman" w:hAnsi="Times New Roman"/>
          </w:rPr>
          <w:t>http://www.sciedu.ca/journal/</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pPr>
      <w:r>
        <w:rPr>
          <w:rFonts w:eastAsia="Times New Roman" w:cs="Times New Roman" w:ascii="Times New Roman" w:hAnsi="Times New Roman"/>
        </w:rPr>
        <w:t xml:space="preserve">Ariana, A. (2016). Pengaruh Return On Investment (ROI), Debt To Equity Ratio (DER), dan Current Ratio (CR) Terhadap Harga Saham Pada Perusahaan Whole Sale dan Retail Trade Yang Terdaftar Di Bursa Efek Indonesia Periode 2010-2013. </w:t>
      </w:r>
      <w:r>
        <w:rPr>
          <w:rFonts w:eastAsia="Times New Roman" w:cs="Times New Roman" w:ascii="Times New Roman" w:hAnsi="Times New Roman"/>
          <w:i/>
          <w:iCs/>
        </w:rPr>
        <w:t>Jurnal Ilmiah Mahasiswa S1 Akuntansi Universitas Pandanaran</w:t>
      </w:r>
      <w:r>
        <w:rPr>
          <w:rFonts w:eastAsia="Times New Roman" w:cs="Times New Roman" w:ascii="Times New Roman" w:hAnsi="Times New Roman"/>
        </w:rPr>
        <w:t xml:space="preserve">, </w:t>
      </w:r>
      <w:r>
        <w:rPr>
          <w:rFonts w:eastAsia="Times New Roman" w:cs="Times New Roman" w:ascii="Times New Roman" w:hAnsi="Times New Roman"/>
          <w:i/>
          <w:iCs/>
        </w:rPr>
        <w:t>2</w:t>
      </w:r>
      <w:r>
        <w:rPr>
          <w:rFonts w:eastAsia="Times New Roman" w:cs="Times New Roman" w:ascii="Times New Roman" w:hAnsi="Times New Roman"/>
        </w:rPr>
        <w:t xml:space="preserve">(2), 1–10. Retrieved from </w:t>
      </w:r>
      <w:hyperlink r:id="rId4">
        <w:r>
          <w:rPr>
            <w:rStyle w:val="InternetLink"/>
            <w:rFonts w:eastAsia="Times New Roman" w:cs="Times New Roman" w:ascii="Times New Roman" w:hAnsi="Times New Roman"/>
          </w:rPr>
          <w:t>http://jurnal.unpand.ac.id/</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pPr>
      <w:r>
        <w:rPr>
          <w:rFonts w:eastAsia="Times New Roman" w:cs="Times New Roman" w:ascii="Times New Roman" w:hAnsi="Times New Roman"/>
        </w:rPr>
        <w:t xml:space="preserve">Ariani, N. N. N., &amp; Sudiartha, G. M. (2017). Pengaruh Leverage, Profitabilitas, dan Likuiditas Terhadap Keputusan Hedging Perusahaan Sektor Pertambangan Di Bursa Efek Indonesia. </w:t>
      </w:r>
      <w:r>
        <w:rPr>
          <w:rFonts w:eastAsia="Times New Roman" w:cs="Times New Roman" w:ascii="Times New Roman" w:hAnsi="Times New Roman"/>
          <w:i/>
          <w:iCs/>
        </w:rPr>
        <w:t>E-Jurnal Manajemen Unud</w:t>
      </w:r>
      <w:r>
        <w:rPr>
          <w:rFonts w:eastAsia="Times New Roman" w:cs="Times New Roman" w:ascii="Times New Roman" w:hAnsi="Times New Roman"/>
        </w:rPr>
        <w:t xml:space="preserve">, </w:t>
      </w:r>
      <w:r>
        <w:rPr>
          <w:rFonts w:eastAsia="Times New Roman" w:cs="Times New Roman" w:ascii="Times New Roman" w:hAnsi="Times New Roman"/>
          <w:i/>
          <w:iCs/>
        </w:rPr>
        <w:t>6</w:t>
      </w:r>
      <w:r>
        <w:rPr>
          <w:rFonts w:eastAsia="Times New Roman" w:cs="Times New Roman" w:ascii="Times New Roman" w:hAnsi="Times New Roman"/>
        </w:rPr>
        <w:t xml:space="preserve">(1), 347–374. Retrieved from </w:t>
      </w:r>
      <w:hyperlink r:id="rId5">
        <w:r>
          <w:rPr>
            <w:rStyle w:val="InternetLink"/>
            <w:rFonts w:eastAsia="Times New Roman" w:cs="Times New Roman" w:ascii="Times New Roman" w:hAnsi="Times New Roman"/>
          </w:rPr>
          <w:t>https://ojs.unud.ac.id/</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rFonts w:ascii="Times New Roman" w:hAnsi="Times New Roman" w:eastAsia="Times New Roman" w:cs="Times New Roman"/>
        </w:rPr>
      </w:pPr>
      <w:r>
        <w:rPr>
          <w:rFonts w:eastAsia="Times New Roman" w:cs="Times New Roman" w:ascii="Times New Roman" w:hAnsi="Times New Roman"/>
        </w:rPr>
        <w:t xml:space="preserve">Aryanti, Mawardi, &amp; Andesta, S. (2016). Pengaruh ROA, ROE, NPM, DAN CR Terhadap Return Saham Pada Perusahaan Yang Terdaftar Di Jakarta Islamic Index. </w:t>
      </w:r>
      <w:r>
        <w:rPr>
          <w:rFonts w:eastAsia="Times New Roman" w:cs="Times New Roman" w:ascii="Times New Roman" w:hAnsi="Times New Roman"/>
          <w:i/>
          <w:iCs/>
        </w:rPr>
        <w:t>I-Finance</w:t>
      </w:r>
      <w:r>
        <w:rPr>
          <w:rFonts w:eastAsia="Times New Roman" w:cs="Times New Roman" w:ascii="Times New Roman" w:hAnsi="Times New Roman"/>
        </w:rPr>
        <w:t xml:space="preserve">, </w:t>
      </w:r>
      <w:r>
        <w:rPr>
          <w:rFonts w:eastAsia="Times New Roman" w:cs="Times New Roman" w:ascii="Times New Roman" w:hAnsi="Times New Roman"/>
          <w:i/>
          <w:iCs/>
        </w:rPr>
        <w:t>2</w:t>
      </w:r>
      <w:r>
        <w:rPr>
          <w:rFonts w:eastAsia="Times New Roman" w:cs="Times New Roman" w:ascii="Times New Roman" w:hAnsi="Times New Roman"/>
        </w:rPr>
        <w:t xml:space="preserve">(2), 54–71. </w:t>
      </w:r>
    </w:p>
    <w:p>
      <w:pPr>
        <w:pStyle w:val="Normal"/>
        <w:spacing w:lineRule="auto" w:line="360" w:beforeAutospacing="1" w:after="200"/>
        <w:ind w:left="450" w:hanging="450"/>
        <w:jc w:val="both"/>
        <w:rPr>
          <w:rFonts w:ascii="Times New Roman" w:hAnsi="Times New Roman" w:eastAsia="Times New Roman" w:cs="Times New Roman"/>
        </w:rPr>
      </w:pPr>
      <w:r>
        <w:rPr>
          <w:rFonts w:eastAsia="Times New Roman" w:cs="Times New Roman" w:ascii="Times New Roman" w:hAnsi="Times New Roman"/>
        </w:rPr>
        <w:t>Belkaoui &amp; Ahmed Riahi (2006). Accounting Theory Buku Satu, Edisi 5 Jakarta, Salemba Empat.</w:t>
      </w:r>
    </w:p>
    <w:p>
      <w:pPr>
        <w:pStyle w:val="NormalWeb"/>
        <w:spacing w:lineRule="auto" w:line="360" w:before="0" w:afterAutospacing="0" w:after="0"/>
        <w:ind w:left="480" w:hanging="480"/>
        <w:jc w:val="both"/>
        <w:rPr/>
      </w:pPr>
      <w:r>
        <w:rPr>
          <w:sz w:val="22"/>
          <w:szCs w:val="22"/>
        </w:rPr>
        <w:t xml:space="preserve">Dewi, A. S. M., &amp; Wirajaya, A. (2013). Pengaruh Struktur Modal, Profitabilitas Dan Ukuran Perusahaan Pada Nilai Perusahaan. </w:t>
      </w:r>
      <w:r>
        <w:rPr>
          <w:i/>
          <w:iCs/>
          <w:sz w:val="22"/>
          <w:szCs w:val="22"/>
        </w:rPr>
        <w:t>E-Jurnal Akuntansi Universitas Udayana</w:t>
      </w:r>
      <w:r>
        <w:rPr>
          <w:sz w:val="22"/>
          <w:szCs w:val="22"/>
        </w:rPr>
        <w:t xml:space="preserve">, 358–372. Retrieved from </w:t>
      </w:r>
      <w:hyperlink r:id="rId6">
        <w:r>
          <w:rPr>
            <w:rStyle w:val="InternetLink"/>
            <w:rFonts w:eastAsia="Calibri"/>
            <w:sz w:val="22"/>
            <w:szCs w:val="22"/>
          </w:rPr>
          <w:t>https://ojs.unud.ac.id/</w:t>
        </w:r>
      </w:hyperlink>
      <w:r>
        <w:rPr>
          <w:sz w:val="22"/>
          <w:szCs w:val="22"/>
        </w:rPr>
        <w:t xml:space="preserve"> </w:t>
      </w:r>
    </w:p>
    <w:p>
      <w:pPr>
        <w:pStyle w:val="Normal"/>
        <w:spacing w:lineRule="auto" w:line="360" w:beforeAutospacing="1" w:after="200"/>
        <w:ind w:left="480" w:hanging="480"/>
        <w:jc w:val="both"/>
        <w:rPr>
          <w:rFonts w:ascii="Times New Roman" w:hAnsi="Times New Roman" w:eastAsia="Times New Roman" w:cs="Times New Roman"/>
        </w:rPr>
      </w:pPr>
      <w:r>
        <w:rPr>
          <w:rFonts w:eastAsia="Times New Roman" w:cs="Times New Roman" w:ascii="Times New Roman" w:hAnsi="Times New Roman"/>
        </w:rPr>
        <w:t xml:space="preserve">Fakhruddin.,&amp; Hardianto. (2001). </w:t>
      </w:r>
      <w:r>
        <w:rPr>
          <w:rFonts w:eastAsia="Times New Roman" w:cs="Times New Roman" w:ascii="Times New Roman" w:hAnsi="Times New Roman"/>
          <w:i/>
          <w:iCs/>
        </w:rPr>
        <w:t>Perangkat dan Model Analisis Investasi; Teori dan Soal Tanya Jawab</w:t>
      </w:r>
      <w:r>
        <w:rPr>
          <w:rFonts w:eastAsia="Times New Roman" w:cs="Times New Roman" w:ascii="Times New Roman" w:hAnsi="Times New Roman"/>
        </w:rPr>
        <w:t>. Bandung: PT Alfa Beta</w:t>
      </w:r>
    </w:p>
    <w:p>
      <w:pPr>
        <w:pStyle w:val="Normal"/>
        <w:spacing w:lineRule="auto" w:line="360" w:beforeAutospacing="1" w:after="200"/>
        <w:ind w:left="480" w:hanging="480"/>
        <w:jc w:val="both"/>
        <w:rPr/>
      </w:pPr>
      <w:r>
        <w:rPr>
          <w:rFonts w:eastAsia="Times New Roman" w:cs="Times New Roman" w:ascii="Times New Roman" w:hAnsi="Times New Roman"/>
        </w:rPr>
        <w:t xml:space="preserve">Hariyani, I., &amp; P, R. S. D. (2010). </w:t>
      </w:r>
      <w:r>
        <w:rPr>
          <w:rFonts w:eastAsia="Times New Roman" w:cs="Times New Roman" w:ascii="Times New Roman" w:hAnsi="Times New Roman"/>
          <w:i/>
          <w:iCs/>
        </w:rPr>
        <w:t>Buku Pintar Hukum Bisnis Pasar Modal</w:t>
      </w:r>
      <w:r>
        <w:rPr>
          <w:rFonts w:eastAsia="Times New Roman" w:cs="Times New Roman" w:ascii="Times New Roman" w:hAnsi="Times New Roman"/>
        </w:rPr>
        <w:t xml:space="preserve"> (1st ed.). Jakarta: Transmedia Pustaka. Retrieved from </w:t>
      </w:r>
      <w:hyperlink r:id="rId7">
        <w:r>
          <w:rPr>
            <w:rStyle w:val="InternetLink"/>
            <w:rFonts w:eastAsia="Times New Roman" w:cs="Times New Roman" w:ascii="Times New Roman" w:hAnsi="Times New Roman"/>
          </w:rPr>
          <w:t>https://books.google.co.id/</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pPr>
      <w:r>
        <w:rPr>
          <w:rFonts w:eastAsia="Times New Roman" w:cs="Times New Roman" w:ascii="Times New Roman" w:hAnsi="Times New Roman"/>
        </w:rPr>
        <w:t xml:space="preserve">Hastuti, R. T. (2017). Faktor-Faktor Yang Mempengaruhi Initial Return Pada Saat IPO Di Bursa Efek Indonesia Periode Tahun 2006-2015. </w:t>
      </w:r>
      <w:r>
        <w:rPr>
          <w:rFonts w:eastAsia="Times New Roman" w:cs="Times New Roman" w:ascii="Times New Roman" w:hAnsi="Times New Roman"/>
          <w:i/>
          <w:iCs/>
        </w:rPr>
        <w:t>Ekonomi</w:t>
      </w:r>
      <w:r>
        <w:rPr>
          <w:rFonts w:eastAsia="Times New Roman" w:cs="Times New Roman" w:ascii="Times New Roman" w:hAnsi="Times New Roman"/>
        </w:rPr>
        <w:t xml:space="preserve">, </w:t>
      </w:r>
      <w:r>
        <w:rPr>
          <w:rFonts w:eastAsia="Times New Roman" w:cs="Times New Roman" w:ascii="Times New Roman" w:hAnsi="Times New Roman"/>
          <w:i/>
          <w:iCs/>
        </w:rPr>
        <w:t>XXII</w:t>
      </w:r>
      <w:r>
        <w:rPr>
          <w:rFonts w:eastAsia="Times New Roman" w:cs="Times New Roman" w:ascii="Times New Roman" w:hAnsi="Times New Roman"/>
        </w:rPr>
        <w:t xml:space="preserve">(2), 209-228. Retrieved from </w:t>
      </w:r>
      <w:hyperlink r:id="rId8">
        <w:r>
          <w:rPr>
            <w:rStyle w:val="InternetLink"/>
            <w:rFonts w:eastAsia="Times New Roman" w:cs="Times New Roman" w:ascii="Times New Roman" w:hAnsi="Times New Roman"/>
          </w:rPr>
          <w:t>http://www.ecojoin.org/</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rFonts w:ascii="Times New Roman" w:hAnsi="Times New Roman" w:eastAsia="Times New Roman" w:cs="Times New Roman"/>
        </w:rPr>
      </w:pPr>
      <w:r>
        <w:rPr>
          <w:rFonts w:eastAsia="Times New Roman" w:cs="Times New Roman" w:ascii="Times New Roman" w:hAnsi="Times New Roman"/>
        </w:rPr>
        <w:t xml:space="preserve">Ikatan Akuntan Indonesia (2007), Pernyataan Standar Akuntansi Keuangan. Jakarta. Salemba Empat </w:t>
      </w:r>
    </w:p>
    <w:p>
      <w:pPr>
        <w:pStyle w:val="Normal"/>
        <w:spacing w:lineRule="auto" w:line="360" w:beforeAutospacing="1" w:after="200"/>
        <w:ind w:left="480" w:hanging="480"/>
        <w:jc w:val="both"/>
        <w:rPr/>
      </w:pPr>
      <w:r>
        <w:rPr>
          <w:rFonts w:eastAsia="Times New Roman" w:cs="Times New Roman" w:ascii="Times New Roman" w:hAnsi="Times New Roman"/>
        </w:rPr>
        <w:t xml:space="preserve">Investopedia. (2017). Degree of Financial Leverage. Retrieved from </w:t>
      </w:r>
      <w:hyperlink r:id="rId9">
        <w:r>
          <w:rPr>
            <w:rStyle w:val="InternetLink"/>
            <w:rFonts w:eastAsia="Times New Roman" w:cs="Times New Roman" w:ascii="Times New Roman" w:hAnsi="Times New Roman"/>
          </w:rPr>
          <w:t>http://www.investopedia.com/</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pPr>
      <w:r>
        <w:rPr>
          <w:rFonts w:eastAsia="Times New Roman" w:cs="Times New Roman" w:ascii="Times New Roman" w:hAnsi="Times New Roman"/>
        </w:rPr>
        <w:t xml:space="preserve">Investopedia. (2017). Degree of Combine Leverage. Retrieved from </w:t>
      </w:r>
      <w:hyperlink r:id="rId10">
        <w:r>
          <w:rPr>
            <w:rStyle w:val="InternetLink"/>
            <w:rFonts w:eastAsia="Times New Roman" w:cs="Times New Roman" w:ascii="Times New Roman" w:hAnsi="Times New Roman"/>
          </w:rPr>
          <w:t>http://www.investopedia.com/</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pPr>
      <w:r>
        <w:rPr>
          <w:rFonts w:eastAsia="Times New Roman" w:cs="Times New Roman" w:ascii="Times New Roman" w:hAnsi="Times New Roman"/>
        </w:rPr>
        <w:t xml:space="preserve">Investopedia. (2017). Expected Return, Variance And Standard Deviation Of A Portfolio. Retrieved from </w:t>
      </w:r>
      <w:hyperlink r:id="rId11">
        <w:r>
          <w:rPr>
            <w:rStyle w:val="InternetLink"/>
            <w:rFonts w:eastAsia="Times New Roman" w:cs="Times New Roman" w:ascii="Times New Roman" w:hAnsi="Times New Roman"/>
          </w:rPr>
          <w:t>http://www.investopedia.com/</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pPr>
      <w:r>
        <w:rPr>
          <w:rFonts w:eastAsia="Times New Roman" w:cs="Times New Roman" w:ascii="Times New Roman" w:hAnsi="Times New Roman"/>
        </w:rPr>
        <w:t xml:space="preserve">Investopedia. (2017). Realized and Expected Holding Period Return. Retrieved from </w:t>
      </w:r>
      <w:hyperlink r:id="rId12">
        <w:r>
          <w:rPr>
            <w:rStyle w:val="InternetLink"/>
            <w:rFonts w:eastAsia="Times New Roman" w:cs="Times New Roman" w:ascii="Times New Roman" w:hAnsi="Times New Roman"/>
          </w:rPr>
          <w:t>http://www.investopedia.com/</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rFonts w:ascii="Times New Roman" w:hAnsi="Times New Roman" w:eastAsia="Times New Roman" w:cs="Times New Roman"/>
        </w:rPr>
      </w:pPr>
      <w:r>
        <w:rPr>
          <w:rFonts w:eastAsia="Times New Roman" w:cs="Times New Roman" w:ascii="Times New Roman" w:hAnsi="Times New Roman"/>
        </w:rPr>
        <w:t xml:space="preserve">Ikatan Akuntansi Indonesia (2007). </w:t>
      </w:r>
      <w:r>
        <w:rPr>
          <w:rFonts w:eastAsia="Times New Roman" w:cs="Times New Roman" w:ascii="Times New Roman" w:hAnsi="Times New Roman"/>
          <w:i/>
          <w:iCs/>
        </w:rPr>
        <w:t>Standar Akuntansi Keuangan</w:t>
      </w:r>
      <w:r>
        <w:rPr>
          <w:rFonts w:eastAsia="Times New Roman" w:cs="Times New Roman" w:ascii="Times New Roman" w:hAnsi="Times New Roman"/>
        </w:rPr>
        <w:t>. Jakarta: Penerbit Salemba Empat.</w:t>
      </w:r>
    </w:p>
    <w:p>
      <w:pPr>
        <w:pStyle w:val="Normal"/>
        <w:spacing w:lineRule="auto" w:line="360" w:beforeAutospacing="1" w:after="200"/>
        <w:ind w:left="480" w:hanging="480"/>
        <w:jc w:val="both"/>
        <w:rPr/>
      </w:pPr>
      <w:r>
        <w:rPr>
          <w:rFonts w:eastAsia="Times New Roman" w:cs="Times New Roman" w:ascii="Times New Roman" w:hAnsi="Times New Roman"/>
        </w:rPr>
        <w:t xml:space="preserve">Jensen, C, M., &amp; Meckling, H, W. (1976). Theory of the Firm: Managerial Behavior, Agency Costs and Ownership Structure. </w:t>
      </w:r>
      <w:r>
        <w:rPr>
          <w:rFonts w:eastAsia="Times New Roman" w:cs="Times New Roman" w:ascii="Times New Roman" w:hAnsi="Times New Roman"/>
          <w:i/>
          <w:iCs/>
        </w:rPr>
        <w:t>Journal of Financial Economics</w:t>
      </w:r>
      <w:r>
        <w:rPr>
          <w:rFonts w:eastAsia="Times New Roman" w:cs="Times New Roman" w:ascii="Times New Roman" w:hAnsi="Times New Roman"/>
        </w:rPr>
        <w:t xml:space="preserve">, </w:t>
      </w:r>
      <w:r>
        <w:rPr>
          <w:rFonts w:eastAsia="Times New Roman" w:cs="Times New Roman" w:ascii="Times New Roman" w:hAnsi="Times New Roman"/>
          <w:i/>
          <w:iCs/>
        </w:rPr>
        <w:t>V.3</w:t>
      </w:r>
      <w:r>
        <w:rPr>
          <w:rFonts w:eastAsia="Times New Roman" w:cs="Times New Roman" w:ascii="Times New Roman" w:hAnsi="Times New Roman"/>
        </w:rPr>
        <w:t xml:space="preserve">, </w:t>
      </w:r>
      <w:r>
        <w:rPr>
          <w:rFonts w:eastAsia="Times New Roman" w:cs="Times New Roman" w:ascii="Times New Roman" w:hAnsi="Times New Roman"/>
          <w:i/>
          <w:iCs/>
        </w:rPr>
        <w:t>No. 4</w:t>
      </w:r>
      <w:r>
        <w:rPr>
          <w:rFonts w:eastAsia="Times New Roman" w:cs="Times New Roman" w:ascii="Times New Roman" w:hAnsi="Times New Roman"/>
        </w:rPr>
        <w:t xml:space="preserve">, 305–360. Retrieved from </w:t>
      </w:r>
      <w:hyperlink r:id="rId13">
        <w:r>
          <w:rPr>
            <w:rStyle w:val="InternetLink"/>
            <w:rFonts w:eastAsia="Times New Roman" w:cs="Times New Roman" w:ascii="Times New Roman" w:hAnsi="Times New Roman"/>
          </w:rPr>
          <w:t>https://www2.bc.edu/</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rFonts w:ascii="Times New Roman" w:hAnsi="Times New Roman" w:eastAsia="Times New Roman" w:cs="Times New Roman"/>
        </w:rPr>
      </w:pPr>
      <w:r>
        <w:rPr>
          <w:rFonts w:eastAsia="Times New Roman" w:cs="Times New Roman" w:ascii="Times New Roman" w:hAnsi="Times New Roman"/>
        </w:rPr>
        <w:t xml:space="preserve">Kasmir (2008). </w:t>
      </w:r>
      <w:r>
        <w:rPr>
          <w:rFonts w:eastAsia="Times New Roman" w:cs="Times New Roman" w:ascii="Times New Roman" w:hAnsi="Times New Roman"/>
          <w:i/>
          <w:iCs/>
        </w:rPr>
        <w:t>Analisis Laporan Keuangan</w:t>
      </w:r>
      <w:r>
        <w:rPr>
          <w:rFonts w:eastAsia="Times New Roman" w:cs="Times New Roman" w:ascii="Times New Roman" w:hAnsi="Times New Roman"/>
        </w:rPr>
        <w:t xml:space="preserve">. Jakarta: Rajawali Press </w:t>
      </w:r>
    </w:p>
    <w:p>
      <w:pPr>
        <w:pStyle w:val="Normal"/>
        <w:spacing w:lineRule="auto" w:line="360" w:beforeAutospacing="1" w:after="200"/>
        <w:ind w:left="480" w:hanging="480"/>
        <w:jc w:val="both"/>
        <w:rPr/>
      </w:pPr>
      <w:r>
        <w:rPr>
          <w:rFonts w:eastAsia="Times New Roman" w:cs="Times New Roman" w:ascii="Times New Roman" w:hAnsi="Times New Roman"/>
        </w:rPr>
        <w:t xml:space="preserve">Margaretha, F. (2014). </w:t>
      </w:r>
      <w:r>
        <w:rPr>
          <w:rFonts w:eastAsia="Times New Roman" w:cs="Times New Roman" w:ascii="Times New Roman" w:hAnsi="Times New Roman"/>
          <w:i/>
          <w:iCs/>
        </w:rPr>
        <w:t>Dasar-Dasar Manajemen Keuangan</w:t>
      </w:r>
      <w:r>
        <w:rPr>
          <w:rFonts w:eastAsia="Times New Roman" w:cs="Times New Roman" w:ascii="Times New Roman" w:hAnsi="Times New Roman"/>
        </w:rPr>
        <w:t xml:space="preserve">. Jakarta: PT Dian Rakyat. Retrieved from </w:t>
      </w:r>
      <w:hyperlink r:id="rId14">
        <w:r>
          <w:rPr>
            <w:rStyle w:val="InternetLink"/>
            <w:rFonts w:eastAsia="Times New Roman" w:cs="Times New Roman" w:ascii="Times New Roman" w:hAnsi="Times New Roman"/>
          </w:rPr>
          <w:t>https://books.google.co.id/</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pPr>
      <w:r>
        <w:rPr>
          <w:rFonts w:eastAsia="Times New Roman" w:cs="Times New Roman" w:ascii="Times New Roman" w:hAnsi="Times New Roman"/>
        </w:rPr>
        <w:t xml:space="preserve">Mishkin, F. S. (2008). </w:t>
      </w:r>
      <w:r>
        <w:rPr>
          <w:rFonts w:eastAsia="Times New Roman" w:cs="Times New Roman" w:ascii="Times New Roman" w:hAnsi="Times New Roman"/>
          <w:i/>
          <w:iCs/>
        </w:rPr>
        <w:t>Ekonomi Uang, Perbankan, dan Pasar Keuangan</w:t>
      </w:r>
      <w:r>
        <w:rPr>
          <w:rFonts w:eastAsia="Times New Roman" w:cs="Times New Roman" w:ascii="Times New Roman" w:hAnsi="Times New Roman"/>
        </w:rPr>
        <w:t xml:space="preserve">. Edisi Keempat. Jakarta: Penerbit Salemba Empat. Retrieved from </w:t>
      </w:r>
      <w:hyperlink r:id="rId15">
        <w:r>
          <w:rPr>
            <w:rStyle w:val="InternetLink"/>
            <w:rFonts w:eastAsia="Times New Roman" w:cs="Times New Roman" w:ascii="Times New Roman" w:hAnsi="Times New Roman"/>
          </w:rPr>
          <w:t>https://books.google.co.id/</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rFonts w:ascii="Times New Roman" w:hAnsi="Times New Roman" w:eastAsia="Times New Roman" w:cs="Times New Roman"/>
        </w:rPr>
      </w:pPr>
      <w:r>
        <w:rPr>
          <w:rFonts w:eastAsia="Times New Roman" w:cs="Times New Roman" w:ascii="Times New Roman" w:hAnsi="Times New Roman"/>
        </w:rPr>
        <w:t xml:space="preserve">Munawir, S (2008). </w:t>
      </w:r>
      <w:r>
        <w:rPr>
          <w:rFonts w:eastAsia="Times New Roman" w:cs="Times New Roman" w:ascii="Times New Roman" w:hAnsi="Times New Roman"/>
          <w:i/>
          <w:iCs/>
        </w:rPr>
        <w:t>Analisa Laporan Keuangan</w:t>
      </w:r>
      <w:r>
        <w:rPr>
          <w:rFonts w:eastAsia="Times New Roman" w:cs="Times New Roman" w:ascii="Times New Roman" w:hAnsi="Times New Roman"/>
        </w:rPr>
        <w:t xml:space="preserve">. Edisi Keempat. Yogyakarta: Penerbit Liberty. </w:t>
      </w:r>
    </w:p>
    <w:p>
      <w:pPr>
        <w:pStyle w:val="Normal"/>
        <w:spacing w:lineRule="auto" w:line="360" w:beforeAutospacing="1" w:after="200"/>
        <w:ind w:left="480" w:hanging="480"/>
        <w:jc w:val="both"/>
        <w:rPr>
          <w:rFonts w:ascii="Times New Roman" w:hAnsi="Times New Roman" w:eastAsia="Times New Roman" w:cs="Times New Roman"/>
        </w:rPr>
      </w:pPr>
      <w:r>
        <w:rPr>
          <w:rFonts w:eastAsia="Times New Roman" w:cs="Times New Roman" w:ascii="Times New Roman" w:hAnsi="Times New Roman"/>
        </w:rPr>
        <w:t xml:space="preserve">Panggabean, R., &amp; Novita. (2012). Pengaruh Faktor-Faktor Penentu Perataan Laba Terhadap Return Saham Pada Perusahaan Perata Laba Di Industri Manufaktur. </w:t>
      </w:r>
      <w:r>
        <w:rPr>
          <w:rFonts w:eastAsia="Times New Roman" w:cs="Times New Roman" w:ascii="Times New Roman" w:hAnsi="Times New Roman"/>
          <w:i/>
          <w:iCs/>
        </w:rPr>
        <w:t>Binus Business Review</w:t>
      </w:r>
      <w:r>
        <w:rPr>
          <w:rFonts w:eastAsia="Times New Roman" w:cs="Times New Roman" w:ascii="Times New Roman" w:hAnsi="Times New Roman"/>
        </w:rPr>
        <w:t xml:space="preserve">, </w:t>
      </w:r>
      <w:r>
        <w:rPr>
          <w:rFonts w:eastAsia="Times New Roman" w:cs="Times New Roman" w:ascii="Times New Roman" w:hAnsi="Times New Roman"/>
          <w:i/>
          <w:iCs/>
        </w:rPr>
        <w:t>vol 3</w:t>
      </w:r>
      <w:r>
        <w:rPr>
          <w:rFonts w:eastAsia="Times New Roman" w:cs="Times New Roman" w:ascii="Times New Roman" w:hAnsi="Times New Roman"/>
        </w:rPr>
        <w:t xml:space="preserve"> </w:t>
      </w:r>
      <w:r>
        <w:rPr>
          <w:rFonts w:eastAsia="Times New Roman" w:cs="Times New Roman" w:ascii="Times New Roman" w:hAnsi="Times New Roman"/>
          <w:i/>
        </w:rPr>
        <w:t>no.1</w:t>
      </w:r>
      <w:r>
        <w:rPr>
          <w:rFonts w:eastAsia="Times New Roman" w:cs="Times New Roman" w:ascii="Times New Roman" w:hAnsi="Times New Roman"/>
        </w:rPr>
        <w:t xml:space="preserve"> , 26–41.</w:t>
      </w:r>
    </w:p>
    <w:p>
      <w:pPr>
        <w:pStyle w:val="Normal"/>
        <w:spacing w:lineRule="auto" w:line="360" w:beforeAutospacing="1" w:after="200"/>
        <w:ind w:left="480" w:hanging="480"/>
        <w:jc w:val="both"/>
        <w:rPr>
          <w:rFonts w:ascii="Times New Roman" w:hAnsi="Times New Roman" w:eastAsia="Times New Roman" w:cs="Times New Roman"/>
        </w:rPr>
      </w:pPr>
      <w:r>
        <w:rPr>
          <w:rFonts w:eastAsia="Times New Roman" w:cs="Times New Roman" w:ascii="Times New Roman" w:hAnsi="Times New Roman"/>
        </w:rPr>
        <w:t xml:space="preserve">S Nurhakim, A., Yunita, I., &amp; Iradianty, A. (2016). The Effect Of Profitability And Inflation On Stock Return At Pharmaceutical Industries At BEI In The Period Of 2012-2014. </w:t>
      </w:r>
      <w:r>
        <w:rPr>
          <w:rFonts w:eastAsia="Times New Roman" w:cs="Times New Roman" w:ascii="Times New Roman" w:hAnsi="Times New Roman"/>
          <w:i/>
          <w:iCs/>
        </w:rPr>
        <w:t>Asia Pacific Journal of Advanced Business and Social Studies</w:t>
      </w:r>
      <w:r>
        <w:rPr>
          <w:rFonts w:eastAsia="Times New Roman" w:cs="Times New Roman" w:ascii="Times New Roman" w:hAnsi="Times New Roman"/>
        </w:rPr>
        <w:t xml:space="preserve">, </w:t>
      </w:r>
      <w:r>
        <w:rPr>
          <w:rFonts w:eastAsia="Times New Roman" w:cs="Times New Roman" w:ascii="Times New Roman" w:hAnsi="Times New Roman"/>
          <w:i/>
          <w:iCs/>
        </w:rPr>
        <w:t>2</w:t>
      </w:r>
      <w:r>
        <w:rPr>
          <w:rFonts w:eastAsia="Times New Roman" w:cs="Times New Roman" w:ascii="Times New Roman" w:hAnsi="Times New Roman"/>
        </w:rPr>
        <w:t>(2), 202–210.</w:t>
      </w:r>
    </w:p>
    <w:p>
      <w:pPr>
        <w:pStyle w:val="Normal"/>
        <w:spacing w:lineRule="auto" w:line="360" w:beforeAutospacing="1" w:after="200"/>
        <w:ind w:left="480" w:hanging="480"/>
        <w:jc w:val="both"/>
        <w:rPr/>
      </w:pPr>
      <w:r>
        <w:rPr>
          <w:rFonts w:eastAsia="Times New Roman" w:cs="Times New Roman" w:ascii="Times New Roman" w:hAnsi="Times New Roman"/>
        </w:rPr>
        <w:t xml:space="preserve">Tumonggor, M., Murni, S., &amp; Rate, P. Van. (2017). Analisis Pengaruh Current Ratio, Return On Equity, Debt To Equity Ratio dan Growth Terhadap Return Saham Pada Cosmetics and HouseHold Industry Yang Terdaftar Di BEI Periode 2010-2016. </w:t>
      </w:r>
      <w:r>
        <w:rPr>
          <w:rFonts w:eastAsia="Times New Roman" w:cs="Times New Roman" w:ascii="Times New Roman" w:hAnsi="Times New Roman"/>
          <w:i/>
          <w:iCs/>
        </w:rPr>
        <w:t>Jurnal Riset Ekonomi, Manajemenm, Bisnis, Dan Akuntansi</w:t>
      </w:r>
      <w:r>
        <w:rPr>
          <w:rFonts w:eastAsia="Times New Roman" w:cs="Times New Roman" w:ascii="Times New Roman" w:hAnsi="Times New Roman"/>
        </w:rPr>
        <w:t xml:space="preserve">, </w:t>
      </w:r>
      <w:r>
        <w:rPr>
          <w:rFonts w:eastAsia="Times New Roman" w:cs="Times New Roman" w:ascii="Times New Roman" w:hAnsi="Times New Roman"/>
          <w:i/>
          <w:iCs/>
        </w:rPr>
        <w:t>5</w:t>
      </w:r>
      <w:r>
        <w:rPr>
          <w:rFonts w:eastAsia="Times New Roman" w:cs="Times New Roman" w:ascii="Times New Roman" w:hAnsi="Times New Roman"/>
        </w:rPr>
        <w:t xml:space="preserve">(2), 2203–2210. Retrieved from </w:t>
      </w:r>
      <w:hyperlink r:id="rId16">
        <w:r>
          <w:rPr>
            <w:rStyle w:val="InternetLink"/>
            <w:rFonts w:eastAsia="Times New Roman" w:cs="Times New Roman" w:ascii="Times New Roman" w:hAnsi="Times New Roman"/>
          </w:rPr>
          <w:t>https://ejournal.unsrat.ac.id/</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pPr>
      <w:r>
        <w:rPr>
          <w:rFonts w:eastAsia="Times New Roman" w:cs="Times New Roman" w:ascii="Times New Roman" w:hAnsi="Times New Roman"/>
        </w:rPr>
        <w:t xml:space="preserve">Wangarry, A. R., Poputra, A. T., &amp; Runtu, T. (2015). Pengaruh Tingkat Return On Investment (ROI), Net Profit Margin (NPM), dan Debt To Equity Ratio (DER) Terhadap Harga Saham Perbankan di Bursa Efek Indonesia (BEI). </w:t>
      </w:r>
      <w:r>
        <w:rPr>
          <w:rFonts w:eastAsia="Times New Roman" w:cs="Times New Roman" w:ascii="Times New Roman" w:hAnsi="Times New Roman"/>
          <w:i/>
          <w:iCs/>
        </w:rPr>
        <w:t>Jurnal Riset Ekonomi, Manajemenm, Bisnis, Dan Akuntansi</w:t>
      </w:r>
      <w:r>
        <w:rPr>
          <w:rFonts w:eastAsia="Times New Roman" w:cs="Times New Roman" w:ascii="Times New Roman" w:hAnsi="Times New Roman"/>
        </w:rPr>
        <w:t xml:space="preserve">, </w:t>
      </w:r>
      <w:r>
        <w:rPr>
          <w:rFonts w:eastAsia="Times New Roman" w:cs="Times New Roman" w:ascii="Times New Roman" w:hAnsi="Times New Roman"/>
          <w:i/>
          <w:iCs/>
        </w:rPr>
        <w:t>3</w:t>
      </w:r>
      <w:r>
        <w:rPr>
          <w:rFonts w:eastAsia="Times New Roman" w:cs="Times New Roman" w:ascii="Times New Roman" w:hAnsi="Times New Roman"/>
        </w:rPr>
        <w:t xml:space="preserve">(4), 470–477. Retrieved from </w:t>
      </w:r>
      <w:hyperlink r:id="rId17">
        <w:r>
          <w:rPr>
            <w:rStyle w:val="InternetLink"/>
            <w:rFonts w:eastAsia="Times New Roman" w:cs="Times New Roman" w:ascii="Times New Roman" w:hAnsi="Times New Roman"/>
          </w:rPr>
          <w:t>https://ejournal.unsrat.ac.id/</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pPr>
      <w:r>
        <w:rPr>
          <w:rFonts w:eastAsia="Times New Roman" w:cs="Times New Roman" w:ascii="Times New Roman" w:hAnsi="Times New Roman"/>
        </w:rPr>
        <w:t xml:space="preserve">Widoatmodjo, S. (2008). </w:t>
      </w:r>
      <w:r>
        <w:rPr>
          <w:rFonts w:eastAsia="Times New Roman" w:cs="Times New Roman" w:ascii="Times New Roman" w:hAnsi="Times New Roman"/>
          <w:i/>
          <w:iCs/>
        </w:rPr>
        <w:t>Cara Sehat Investasi di Pasar Modal</w:t>
      </w:r>
      <w:r>
        <w:rPr>
          <w:rFonts w:eastAsia="Times New Roman" w:cs="Times New Roman" w:ascii="Times New Roman" w:hAnsi="Times New Roman"/>
        </w:rPr>
        <w:t xml:space="preserve">. (R. L. Toruan, Ed.) (6th ed.). Jakarta: PT Elex Media Komputindo. Retrieved from </w:t>
      </w:r>
      <w:hyperlink r:id="rId18">
        <w:r>
          <w:rPr>
            <w:rStyle w:val="InternetLink"/>
            <w:rFonts w:eastAsia="Times New Roman" w:cs="Times New Roman" w:ascii="Times New Roman" w:hAnsi="Times New Roman"/>
          </w:rPr>
          <w:t>https://books.google.co.id/</w:t>
        </w:r>
      </w:hyperlink>
      <w:r>
        <w:rPr>
          <w:rFonts w:eastAsia="Times New Roman" w:cs="Times New Roman" w:ascii="Times New Roman" w:hAnsi="Times New Roman"/>
        </w:rPr>
        <w:t xml:space="preserve"> </w:t>
      </w:r>
    </w:p>
    <w:p>
      <w:pPr>
        <w:pStyle w:val="Normal"/>
        <w:spacing w:lineRule="auto" w:line="360" w:beforeAutospacing="1" w:after="200"/>
        <w:ind w:left="480" w:hanging="480"/>
        <w:jc w:val="both"/>
        <w:rPr/>
      </w:pPr>
      <w:r>
        <w:rPr>
          <w:rFonts w:eastAsia="Times New Roman" w:cs="Times New Roman" w:ascii="Times New Roman" w:hAnsi="Times New Roman"/>
        </w:rPr>
        <w:t xml:space="preserve">Wingsih, Y. (2013). Analisis Pengaruh Likuiditas, Profitabilitas, Dan Solvabilitas Terhadap Return Saham Pada Perusahaan Pertambangan Yang Terdaftar Di Bursa Efek Indonesia Pada Tahun 2008 Sampai 2012. </w:t>
      </w:r>
      <w:r>
        <w:rPr>
          <w:rFonts w:eastAsia="Times New Roman" w:cs="Times New Roman" w:ascii="Times New Roman" w:hAnsi="Times New Roman"/>
          <w:i/>
          <w:iCs/>
        </w:rPr>
        <w:t>Jurnal Ekonomi Universitas Dian Nuswantoro</w:t>
      </w:r>
      <w:r>
        <w:rPr>
          <w:rFonts w:eastAsia="Times New Roman" w:cs="Times New Roman" w:ascii="Times New Roman" w:hAnsi="Times New Roman"/>
        </w:rPr>
        <w:t xml:space="preserve">. Retrieved from </w:t>
      </w:r>
      <w:hyperlink r:id="rId19">
        <w:r>
          <w:rPr>
            <w:rStyle w:val="InternetLink"/>
            <w:rFonts w:eastAsia="Times New Roman" w:cs="Times New Roman" w:ascii="Times New Roman" w:hAnsi="Times New Roman"/>
          </w:rPr>
          <w:t>http://eprints.dinus.ac.id/</w:t>
        </w:r>
      </w:hyperlink>
      <w:r>
        <w:rPr>
          <w:rFonts w:eastAsia="Times New Roman" w:cs="Times New Roman" w:ascii="Times New Roman" w:hAnsi="Times New Roman"/>
        </w:rPr>
        <w:t xml:space="preserve">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both"/>
        <w:rPr>
          <w:rFonts w:cs="Times New Roman"/>
        </w:rPr>
      </w:pPr>
      <w:r>
        <w:rPr>
          <w:rFonts w:cs="Times New Roman"/>
        </w:rPr>
      </w:r>
    </w:p>
    <w:p>
      <w:pPr>
        <w:pStyle w:val="Normal"/>
        <w:spacing w:lineRule="auto" w:line="360" w:before="0" w:after="200"/>
        <w:rPr/>
      </w:pPr>
      <w:r>
        <w:rPr/>
      </w:r>
    </w:p>
    <w:sectPr>
      <w:type w:val="nextPage"/>
      <w:pgSz w:w="12240" w:h="15840"/>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Helvetica">
    <w:altName w:val="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en-US" w:eastAsia="en-US" w:bidi="ar-SA"/>
    </w:rPr>
  </w:style>
  <w:style w:type="character" w:styleId="DefaultParagraphFont" w:default="1">
    <w:name w:val="Default Paragraph Font"/>
    <w:uiPriority w:val="1"/>
    <w:semiHidden/>
    <w:unhideWhenUsed/>
    <w:qFormat/>
    <w:rPr/>
  </w:style>
  <w:style w:type="character" w:styleId="ListParagraphChar" w:customStyle="1">
    <w:name w:val="List Paragraph Char"/>
    <w:link w:val="ListParagraph"/>
    <w:qFormat/>
    <w:rsid w:val="00d966e8"/>
    <w:rPr>
      <w:rFonts w:ascii="Times New Roman" w:hAnsi="Times New Roman" w:eastAsia="Arial Unicode MS" w:cs="Arial Unicode MS"/>
      <w:color w:val="000000"/>
      <w:sz w:val="24"/>
      <w:szCs w:val="24"/>
      <w:u w:val="none" w:color="000000"/>
      <w:lang w:eastAsia="id-ID"/>
    </w:rPr>
  </w:style>
  <w:style w:type="character" w:styleId="InternetLink">
    <w:name w:val="Internet Link"/>
    <w:basedOn w:val="DefaultParagraphFont"/>
    <w:uiPriority w:val="99"/>
    <w:unhideWhenUsed/>
    <w:rsid w:val="004624d7"/>
    <w:rPr>
      <w:color w:val="0000FF" w:themeColor="hyperlink"/>
      <w:u w:val="single"/>
    </w:rPr>
  </w:style>
  <w:style w:type="character" w:styleId="NoSpacing1Char" w:customStyle="1">
    <w:name w:val="No Spacing1 Char"/>
    <w:link w:val="NoSpacing1"/>
    <w:uiPriority w:val="1"/>
    <w:qFormat/>
    <w:rsid w:val="007239df"/>
    <w:rPr>
      <w:rFonts w:ascii="Calibri" w:hAnsi="Calibri" w:eastAsia="Calibri" w:cs="Times New Roman"/>
    </w:rPr>
  </w:style>
  <w:style w:type="paragraph" w:styleId="Heading">
    <w:name w:val="Heading"/>
    <w:basedOn w:val="Normal"/>
    <w:next w:val="TextBody"/>
    <w:qFormat/>
    <w:pPr>
      <w:keepNext/>
      <w:spacing w:before="240" w:after="120"/>
    </w:pPr>
    <w:rPr>
      <w:rFonts w:ascii="Liberation Sans" w:hAnsi="Liberation Sans" w:eastAsia="Microsoft YaHei" w:cs="Mang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ListParagraph">
    <w:name w:val="List Paragraph"/>
    <w:link w:val="ListParagraphChar"/>
    <w:qFormat/>
    <w:rsid w:val="00d966e8"/>
    <w:pPr>
      <w:widowControl/>
      <w:pBdr/>
      <w:bidi w:val="0"/>
      <w:spacing w:lineRule="auto" w:line="240" w:before="0" w:after="0"/>
      <w:ind w:left="720" w:hanging="0"/>
      <w:jc w:val="left"/>
    </w:pPr>
    <w:rPr>
      <w:rFonts w:ascii="Times New Roman" w:hAnsi="Times New Roman" w:eastAsia="Arial Unicode MS" w:cs="Arial Unicode MS"/>
      <w:color w:val="000000"/>
      <w:sz w:val="24"/>
      <w:szCs w:val="24"/>
      <w:u w:val="none" w:color="000000"/>
      <w:lang w:eastAsia="id-ID" w:val="en-US" w:bidi="ar-SA"/>
    </w:rPr>
  </w:style>
  <w:style w:type="paragraph" w:styleId="BodyA" w:customStyle="1">
    <w:name w:val="Body A"/>
    <w:qFormat/>
    <w:rsid w:val="00e00746"/>
    <w:pPr>
      <w:widowControl/>
      <w:pBdr/>
      <w:bidi w:val="0"/>
      <w:spacing w:lineRule="auto" w:line="240" w:before="0" w:after="0"/>
      <w:jc w:val="left"/>
    </w:pPr>
    <w:rPr>
      <w:rFonts w:ascii="Helvetica" w:hAnsi="Helvetica" w:eastAsia="Helvetica" w:cs="Helvetica"/>
      <w:color w:val="000000"/>
      <w:sz w:val="22"/>
      <w:szCs w:val="22"/>
      <w:u w:val="none" w:color="000000"/>
      <w:lang w:eastAsia="id-ID" w:val="en-US" w:bidi="ar-SA"/>
    </w:rPr>
  </w:style>
  <w:style w:type="paragraph" w:styleId="NoSpacing1" w:customStyle="1">
    <w:name w:val="No Spacing1"/>
    <w:link w:val="NoSpacing1Char"/>
    <w:uiPriority w:val="1"/>
    <w:qFormat/>
    <w:rsid w:val="007239df"/>
    <w:pPr>
      <w:widowControl/>
      <w:bidi w:val="0"/>
      <w:spacing w:lineRule="auto" w:line="240" w:before="0" w:after="0"/>
      <w:jc w:val="left"/>
    </w:pPr>
    <w:rPr>
      <w:rFonts w:ascii="Calibri" w:hAnsi="Calibri" w:eastAsia="Calibri" w:cs="Times New Roman" w:asciiTheme="minorHAnsi" w:eastAsiaTheme="minorHAnsi" w:hAnsiTheme="minorHAnsi"/>
      <w:color w:val="auto"/>
      <w:sz w:val="22"/>
      <w:szCs w:val="22"/>
      <w:lang w:val="en-US" w:eastAsia="en-US" w:bidi="ar-SA"/>
    </w:rPr>
  </w:style>
  <w:style w:type="paragraph" w:styleId="NormalWeb">
    <w:name w:val="Normal (Web)"/>
    <w:basedOn w:val="Normal"/>
    <w:uiPriority w:val="99"/>
    <w:unhideWhenUsed/>
    <w:qFormat/>
    <w:rsid w:val="000833e3"/>
    <w:pPr>
      <w:spacing w:lineRule="auto" w:line="240" w:beforeAutospacing="1" w:afterAutospacing="1"/>
    </w:pPr>
    <w:rPr>
      <w:rFonts w:ascii="Times New Roman" w:hAnsi="Times New Roman" w:eastAsia="Times New Roman" w:cs="Times New Roman"/>
      <w:sz w:val="24"/>
      <w:szCs w:val="24"/>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idx.co.id/" TargetMode="External"/><Relationship Id="rId3" Type="http://schemas.openxmlformats.org/officeDocument/2006/relationships/hyperlink" Target="http://www.sciedu.ca/journal/" TargetMode="External"/><Relationship Id="rId4" Type="http://schemas.openxmlformats.org/officeDocument/2006/relationships/hyperlink" Target="http://jurnal.unpand.ac.id/" TargetMode="External"/><Relationship Id="rId5" Type="http://schemas.openxmlformats.org/officeDocument/2006/relationships/hyperlink" Target="https://ojs.unud.ac.id/" TargetMode="External"/><Relationship Id="rId6" Type="http://schemas.openxmlformats.org/officeDocument/2006/relationships/hyperlink" Target="https://ojs.unud.ac.id/" TargetMode="External"/><Relationship Id="rId7" Type="http://schemas.openxmlformats.org/officeDocument/2006/relationships/hyperlink" Target="https://books.google.co.id/" TargetMode="External"/><Relationship Id="rId8" Type="http://schemas.openxmlformats.org/officeDocument/2006/relationships/hyperlink" Target="http://www.ecojoin.org/" TargetMode="External"/><Relationship Id="rId9" Type="http://schemas.openxmlformats.org/officeDocument/2006/relationships/hyperlink" Target="http://www.investopedia.com/" TargetMode="External"/><Relationship Id="rId10" Type="http://schemas.openxmlformats.org/officeDocument/2006/relationships/hyperlink" Target="http://www.investopedia.com/" TargetMode="External"/><Relationship Id="rId11" Type="http://schemas.openxmlformats.org/officeDocument/2006/relationships/hyperlink" Target="http://www.investopedia.com/" TargetMode="External"/><Relationship Id="rId12" Type="http://schemas.openxmlformats.org/officeDocument/2006/relationships/hyperlink" Target="http://www.investopedia.com/" TargetMode="External"/><Relationship Id="rId13" Type="http://schemas.openxmlformats.org/officeDocument/2006/relationships/hyperlink" Target="https://www2.bc.edu/" TargetMode="External"/><Relationship Id="rId14" Type="http://schemas.openxmlformats.org/officeDocument/2006/relationships/hyperlink" Target="https://books.google.co.id/" TargetMode="External"/><Relationship Id="rId15" Type="http://schemas.openxmlformats.org/officeDocument/2006/relationships/hyperlink" Target="https://books.google.co.id/" TargetMode="External"/><Relationship Id="rId16" Type="http://schemas.openxmlformats.org/officeDocument/2006/relationships/hyperlink" Target="https://ejournal.unsrat.ac.id/" TargetMode="External"/><Relationship Id="rId17" Type="http://schemas.openxmlformats.org/officeDocument/2006/relationships/hyperlink" Target="https://ejournal.unsrat.ac.id/" TargetMode="External"/><Relationship Id="rId18" Type="http://schemas.openxmlformats.org/officeDocument/2006/relationships/hyperlink" Target="https://books.google.co.id/" TargetMode="External"/><Relationship Id="rId19" Type="http://schemas.openxmlformats.org/officeDocument/2006/relationships/hyperlink" Target="http://eprints.dinus.ac.id/" TargetMode="Externa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Relationship Id="rId24"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96542-DD26-474E-BBA4-9D0DFD29F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1784</TotalTime>
  <Application>LibreOffice/5.2.3.3$Windows_X86_64 LibreOffice_project/d54a8868f08a7b39642414cf2c8ef2f228f780cf</Application>
  <Pages>11</Pages>
  <Words>4726</Words>
  <Characters>30459</Characters>
  <CharactersWithSpaces>34808</CharactersWithSpaces>
  <Paragraphs>425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2018-01-08T03:15:00Z</dcterms:created>
  <dc:creator>Katrika Dewi</dc:creator>
  <dc:description/>
  <dc:language>en-US</dc:language>
  <cp:lastModifiedBy>Katrika Dewi</cp:lastModifiedBy>
  <dcterms:modified xsi:type="dcterms:W3CDTF">2018-01-12T09:04:00Z</dcterms:modified>
  <cp:revision>148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